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67"/>
        <w:tblW w:w="5304" w:type="pct"/>
        <w:tblCellMar>
          <w:left w:w="0" w:type="dxa"/>
          <w:right w:w="0" w:type="dxa"/>
        </w:tblCellMar>
        <w:tblLook w:val="04A0" w:firstRow="1" w:lastRow="0" w:firstColumn="1" w:lastColumn="0" w:noHBand="0" w:noVBand="1"/>
      </w:tblPr>
      <w:tblGrid>
        <w:gridCol w:w="3616"/>
        <w:gridCol w:w="5959"/>
      </w:tblGrid>
      <w:tr w:rsidR="00142371" w:rsidRPr="00142371" w14:paraId="574E9051" w14:textId="77777777" w:rsidTr="00142371">
        <w:trPr>
          <w:trHeight w:val="1271"/>
        </w:trPr>
        <w:tc>
          <w:tcPr>
            <w:tcW w:w="3616" w:type="dxa"/>
            <w:tcMar>
              <w:top w:w="0" w:type="dxa"/>
              <w:left w:w="108" w:type="dxa"/>
              <w:bottom w:w="0" w:type="dxa"/>
              <w:right w:w="108" w:type="dxa"/>
            </w:tcMar>
          </w:tcPr>
          <w:p w14:paraId="4F25F6EC" w14:textId="77777777" w:rsidR="00142371" w:rsidRPr="00142371" w:rsidRDefault="00142371" w:rsidP="006C4C51">
            <w:pPr>
              <w:spacing w:before="120"/>
              <w:jc w:val="center"/>
              <w:rPr>
                <w:rFonts w:ascii="Times New Roman" w:hAnsi="Times New Roman" w:cs="Times New Roman"/>
                <w:sz w:val="26"/>
                <w:szCs w:val="26"/>
              </w:rPr>
            </w:pPr>
            <w:r w:rsidRPr="00142371">
              <w:rPr>
                <w:rFonts w:ascii="Times New Roman" w:hAnsi="Times New Roman" w:cs="Times New Roman"/>
                <w:sz w:val="26"/>
                <w:szCs w:val="26"/>
              </w:rPr>
              <w:t> </w:t>
            </w:r>
            <w:r w:rsidRPr="00142371">
              <w:rPr>
                <w:rFonts w:ascii="Times New Roman" w:hAnsi="Times New Roman" w:cs="Times New Roman"/>
                <w:b/>
                <w:bCs/>
                <w:sz w:val="26"/>
                <w:szCs w:val="26"/>
              </w:rPr>
              <w:t xml:space="preserve">CÔNG TY CỔ PHẦN </w:t>
            </w:r>
            <w:r w:rsidRPr="00142371">
              <w:rPr>
                <w:rFonts w:ascii="Times New Roman" w:hAnsi="Times New Roman" w:cs="Times New Roman"/>
                <w:b/>
                <w:bCs/>
                <w:sz w:val="26"/>
                <w:szCs w:val="26"/>
              </w:rPr>
              <w:br/>
              <w:t>GREEN  i – PARK</w:t>
            </w:r>
            <w:r w:rsidRPr="00142371">
              <w:rPr>
                <w:rFonts w:ascii="Times New Roman" w:hAnsi="Times New Roman" w:cs="Times New Roman"/>
                <w:b/>
                <w:bCs/>
                <w:sz w:val="26"/>
                <w:szCs w:val="26"/>
              </w:rPr>
              <w:br/>
            </w:r>
            <w:r w:rsidRPr="00142371">
              <w:rPr>
                <w:rFonts w:ascii="Times New Roman" w:hAnsi="Times New Roman" w:cs="Times New Roman"/>
                <w:sz w:val="26"/>
                <w:szCs w:val="26"/>
              </w:rPr>
              <w:t>__________</w:t>
            </w:r>
          </w:p>
        </w:tc>
        <w:tc>
          <w:tcPr>
            <w:tcW w:w="5959" w:type="dxa"/>
            <w:tcMar>
              <w:top w:w="0" w:type="dxa"/>
              <w:left w:w="108" w:type="dxa"/>
              <w:bottom w:w="0" w:type="dxa"/>
              <w:right w:w="108" w:type="dxa"/>
            </w:tcMar>
          </w:tcPr>
          <w:p w14:paraId="7E7E88AF" w14:textId="77777777" w:rsidR="00142371" w:rsidRPr="00142371" w:rsidRDefault="00142371" w:rsidP="006C4C51">
            <w:pPr>
              <w:spacing w:before="120"/>
              <w:jc w:val="center"/>
              <w:rPr>
                <w:rFonts w:ascii="Times New Roman" w:hAnsi="Times New Roman" w:cs="Times New Roman"/>
                <w:sz w:val="26"/>
                <w:szCs w:val="26"/>
              </w:rPr>
            </w:pPr>
            <w:r w:rsidRPr="00142371">
              <w:rPr>
                <w:rFonts w:ascii="Times New Roman" w:hAnsi="Times New Roman" w:cs="Times New Roman"/>
                <w:b/>
                <w:bCs/>
                <w:sz w:val="26"/>
                <w:szCs w:val="26"/>
              </w:rPr>
              <w:t>CỘNG HÒA XÃ HỘI CHỦ NGHĨA VIỆT NAM</w:t>
            </w:r>
            <w:r w:rsidRPr="00142371">
              <w:rPr>
                <w:rFonts w:ascii="Times New Roman" w:hAnsi="Times New Roman" w:cs="Times New Roman"/>
                <w:b/>
                <w:bCs/>
                <w:sz w:val="26"/>
                <w:szCs w:val="26"/>
              </w:rPr>
              <w:br/>
              <w:t xml:space="preserve">Độc lập - Tự do - Hạnh phúc </w:t>
            </w:r>
            <w:r w:rsidRPr="00142371">
              <w:rPr>
                <w:rFonts w:ascii="Times New Roman" w:hAnsi="Times New Roman" w:cs="Times New Roman"/>
                <w:b/>
                <w:bCs/>
                <w:sz w:val="26"/>
                <w:szCs w:val="26"/>
              </w:rPr>
              <w:br/>
            </w:r>
            <w:r w:rsidRPr="00142371">
              <w:rPr>
                <w:rFonts w:ascii="Times New Roman" w:hAnsi="Times New Roman" w:cs="Times New Roman"/>
                <w:sz w:val="26"/>
                <w:szCs w:val="26"/>
              </w:rPr>
              <w:t>_______________________</w:t>
            </w:r>
          </w:p>
        </w:tc>
      </w:tr>
      <w:tr w:rsidR="00142371" w:rsidRPr="00142371" w14:paraId="4D37CE55" w14:textId="77777777" w:rsidTr="00142371">
        <w:trPr>
          <w:trHeight w:val="874"/>
        </w:trPr>
        <w:tc>
          <w:tcPr>
            <w:tcW w:w="3616" w:type="dxa"/>
            <w:tcMar>
              <w:top w:w="0" w:type="dxa"/>
              <w:left w:w="108" w:type="dxa"/>
              <w:bottom w:w="0" w:type="dxa"/>
              <w:right w:w="108" w:type="dxa"/>
            </w:tcMar>
          </w:tcPr>
          <w:p w14:paraId="7C035F3F" w14:textId="01582E75" w:rsidR="00142371" w:rsidRPr="00142371" w:rsidRDefault="00142371" w:rsidP="006C4C51">
            <w:pPr>
              <w:spacing w:before="120"/>
              <w:jc w:val="center"/>
              <w:rPr>
                <w:rFonts w:ascii="Times New Roman" w:hAnsi="Times New Roman" w:cs="Times New Roman"/>
                <w:sz w:val="26"/>
                <w:szCs w:val="26"/>
              </w:rPr>
            </w:pPr>
            <w:r w:rsidRPr="00142371">
              <w:rPr>
                <w:rFonts w:ascii="Times New Roman" w:hAnsi="Times New Roman" w:cs="Times New Roman"/>
                <w:sz w:val="26"/>
                <w:szCs w:val="26"/>
              </w:rPr>
              <w:t>Số: ……/2026/</w:t>
            </w:r>
            <w:r w:rsidR="004938D4">
              <w:rPr>
                <w:rFonts w:ascii="Times New Roman" w:hAnsi="Times New Roman" w:cs="Times New Roman"/>
                <w:sz w:val="26"/>
                <w:szCs w:val="26"/>
              </w:rPr>
              <w:t>QC-GiP</w:t>
            </w:r>
          </w:p>
        </w:tc>
        <w:tc>
          <w:tcPr>
            <w:tcW w:w="5959" w:type="dxa"/>
            <w:tcMar>
              <w:top w:w="0" w:type="dxa"/>
              <w:left w:w="108" w:type="dxa"/>
              <w:bottom w:w="0" w:type="dxa"/>
              <w:right w:w="108" w:type="dxa"/>
            </w:tcMar>
          </w:tcPr>
          <w:p w14:paraId="0036B12D" w14:textId="389A8CD2" w:rsidR="00142371" w:rsidRPr="00142371" w:rsidRDefault="00142371" w:rsidP="006C4C51">
            <w:pPr>
              <w:spacing w:before="120"/>
              <w:jc w:val="right"/>
              <w:rPr>
                <w:rFonts w:ascii="Times New Roman" w:hAnsi="Times New Roman" w:cs="Times New Roman"/>
                <w:sz w:val="26"/>
                <w:szCs w:val="26"/>
              </w:rPr>
            </w:pPr>
            <w:r w:rsidRPr="00142371">
              <w:rPr>
                <w:rFonts w:ascii="Times New Roman" w:hAnsi="Times New Roman" w:cs="Times New Roman"/>
                <w:sz w:val="26"/>
                <w:szCs w:val="26"/>
              </w:rPr>
              <w:t xml:space="preserve">Hà Nội, ngày </w:t>
            </w:r>
            <w:r w:rsidR="004938D4">
              <w:rPr>
                <w:rFonts w:ascii="Times New Roman" w:hAnsi="Times New Roman" w:cs="Times New Roman"/>
                <w:sz w:val="26"/>
                <w:szCs w:val="26"/>
              </w:rPr>
              <w:t xml:space="preserve">    </w:t>
            </w:r>
            <w:r w:rsidRPr="00142371">
              <w:rPr>
                <w:rFonts w:ascii="Times New Roman" w:hAnsi="Times New Roman" w:cs="Times New Roman"/>
                <w:sz w:val="26"/>
                <w:szCs w:val="26"/>
              </w:rPr>
              <w:t xml:space="preserve"> tháng </w:t>
            </w:r>
            <w:r w:rsidR="004938D4">
              <w:rPr>
                <w:rFonts w:ascii="Times New Roman" w:hAnsi="Times New Roman" w:cs="Times New Roman"/>
                <w:sz w:val="26"/>
                <w:szCs w:val="26"/>
              </w:rPr>
              <w:t xml:space="preserve">    </w:t>
            </w:r>
            <w:r w:rsidRPr="00142371">
              <w:rPr>
                <w:rFonts w:ascii="Times New Roman" w:hAnsi="Times New Roman" w:cs="Times New Roman"/>
                <w:sz w:val="26"/>
                <w:szCs w:val="26"/>
              </w:rPr>
              <w:t xml:space="preserve"> năm 2026</w:t>
            </w:r>
          </w:p>
        </w:tc>
      </w:tr>
    </w:tbl>
    <w:p w14:paraId="0CE42CF3" w14:textId="7F013216" w:rsidR="004C5B4F" w:rsidRPr="00142371" w:rsidRDefault="004C5B4F" w:rsidP="00142371">
      <w:pPr>
        <w:pStyle w:val="1"/>
        <w:ind w:left="1985" w:right="1088"/>
        <w:jc w:val="center"/>
        <w:rPr>
          <w:sz w:val="26"/>
          <w:szCs w:val="26"/>
        </w:rPr>
      </w:pPr>
      <w:r w:rsidRPr="00142371">
        <w:rPr>
          <w:sz w:val="26"/>
          <w:szCs w:val="26"/>
        </w:rPr>
        <w:t>QUY CHẾ THI TUYỂN PHƯƠNG ÁN KIẾN TRÚC</w:t>
      </w:r>
      <w:r w:rsidR="00142371">
        <w:rPr>
          <w:sz w:val="26"/>
          <w:szCs w:val="26"/>
        </w:rPr>
        <w:t xml:space="preserve"> CÔNG TRÌNH MANG TÍNH BIỂU TƯỢNG </w:t>
      </w:r>
      <w:r w:rsidR="00A7508A">
        <w:rPr>
          <w:sz w:val="26"/>
          <w:szCs w:val="26"/>
        </w:rPr>
        <w:t xml:space="preserve">CỦA </w:t>
      </w:r>
      <w:r w:rsidR="00142371">
        <w:rPr>
          <w:sz w:val="26"/>
          <w:szCs w:val="26"/>
        </w:rPr>
        <w:t>KHU CÔNG NGHIỆP LIÊN HÀ THÁI</w:t>
      </w:r>
    </w:p>
    <w:p w14:paraId="7223B470" w14:textId="374F11EF" w:rsidR="004C5B4F" w:rsidRPr="004C5B4F" w:rsidRDefault="004C5B4F" w:rsidP="00971DCF">
      <w:pPr>
        <w:pStyle w:val="3"/>
      </w:pPr>
      <w:r w:rsidRPr="004C5B4F">
        <w:t>MỤC ĐÍCH</w:t>
      </w:r>
    </w:p>
    <w:p w14:paraId="40F8A256" w14:textId="56BEECDA" w:rsidR="004C5B4F" w:rsidRPr="004C5B4F" w:rsidRDefault="000C1285" w:rsidP="00B23622">
      <w:pPr>
        <w:pStyle w:val="51"/>
      </w:pPr>
      <w:r>
        <w:t>Việc tổ chức thi tuyển phương án kiến trúc nhằm các mục đích sau:</w:t>
      </w:r>
    </w:p>
    <w:p w14:paraId="1D7885DA" w14:textId="345D9E00" w:rsidR="004C5B4F" w:rsidRPr="004C5B4F" w:rsidRDefault="000C1285" w:rsidP="00B23622">
      <w:pPr>
        <w:pStyle w:val="5"/>
      </w:pPr>
      <w:r>
        <w:t>Lựa chọn phương án kiến trúc tối ưu, đáp ứng yêu cầu về tính thẩm mỹ, tính biểu tượng và khả năng nhận diện thương hiệu của Khu công nghiệp;</w:t>
      </w:r>
    </w:p>
    <w:p w14:paraId="33B3B00C" w14:textId="517645AF" w:rsidR="004C5B4F" w:rsidRPr="004C5B4F" w:rsidRDefault="000C1285" w:rsidP="00B23622">
      <w:pPr>
        <w:pStyle w:val="5"/>
      </w:pPr>
      <w:r>
        <w:t>Đảm bảo phương án được lựa chọn có tính khả thi cao trong thiết kế, thi công và vận hành khai thác;</w:t>
      </w:r>
    </w:p>
    <w:p w14:paraId="0F758A83" w14:textId="0251244F" w:rsidR="004C5B4F" w:rsidRPr="004C5B4F" w:rsidRDefault="000C1285" w:rsidP="00B23622">
      <w:pPr>
        <w:pStyle w:val="5"/>
      </w:pPr>
      <w:r>
        <w:t>Làm cơ sở để Chủ đầu tư xem xét, quyết định lựa chọn đơn vị tư vấn triển khai các bước thiết kế tiếp theo theo quy định.</w:t>
      </w:r>
    </w:p>
    <w:p w14:paraId="252F9AFA" w14:textId="33588F6F" w:rsidR="004C5B4F" w:rsidRPr="004C5B4F" w:rsidRDefault="004C5B4F" w:rsidP="00E14E72">
      <w:pPr>
        <w:pStyle w:val="3"/>
      </w:pPr>
      <w:r w:rsidRPr="004C5B4F">
        <w:t>HÌNH THỨC VÀ PHẠM VI THI TUYỂN</w:t>
      </w:r>
    </w:p>
    <w:p w14:paraId="2E5922F7" w14:textId="4E278DF4" w:rsidR="004C5B4F" w:rsidRPr="004C5B4F" w:rsidRDefault="004C5B4F" w:rsidP="006A6ABC">
      <w:pPr>
        <w:pStyle w:val="4"/>
        <w:numPr>
          <w:ilvl w:val="0"/>
          <w:numId w:val="5"/>
        </w:numPr>
      </w:pPr>
      <w:r w:rsidRPr="004C5B4F">
        <w:t>Hình thức</w:t>
      </w:r>
      <w:r w:rsidR="00BD674E">
        <w:t xml:space="preserve"> thi tuyển</w:t>
      </w:r>
    </w:p>
    <w:p w14:paraId="3D7E90EE" w14:textId="028CDA3E" w:rsidR="00BD674E" w:rsidRDefault="00A63987" w:rsidP="00C524E5">
      <w:pPr>
        <w:pStyle w:val="5"/>
      </w:pPr>
      <w:r>
        <w:t xml:space="preserve">Cuộc thi được tổ chức theo hình thức </w:t>
      </w:r>
      <w:r w:rsidRPr="00A63987">
        <w:rPr>
          <w:rStyle w:val="Strong"/>
          <w:b w:val="0"/>
          <w:bCs w:val="0"/>
        </w:rPr>
        <w:t>thi tuyển rộng rãi</w:t>
      </w:r>
      <w:r w:rsidRPr="00A63987">
        <w:rPr>
          <w:b/>
          <w:bCs/>
        </w:rPr>
        <w:t>,</w:t>
      </w:r>
      <w:r>
        <w:t xml:space="preserve"> không hạn chế số lượng tổ chức, cá nhân trong nước tham gia, bao gồm cả các đơn vị, cá nhân hành nghề chuyên nghiệp và không chuyên nghiệp</w:t>
      </w:r>
      <w:r w:rsidR="0026391C">
        <w:t xml:space="preserve"> đều</w:t>
      </w:r>
      <w:r>
        <w:t xml:space="preserve"> được phép đăng ký dự thi theo quy định của Quy chế này</w:t>
      </w:r>
      <w:r w:rsidR="00BD674E" w:rsidRPr="00BD674E">
        <w:t xml:space="preserve">. </w:t>
      </w:r>
    </w:p>
    <w:p w14:paraId="402D475E" w14:textId="05A44563" w:rsidR="00C622D2" w:rsidRDefault="00A63987" w:rsidP="00C524E5">
      <w:pPr>
        <w:pStyle w:val="5"/>
      </w:pPr>
      <w:r>
        <w:t xml:space="preserve">Thông tin về cuộc thi được công bố trên </w:t>
      </w:r>
      <w:r w:rsidRPr="00A63987">
        <w:rPr>
          <w:rStyle w:val="Strong"/>
          <w:b w:val="0"/>
          <w:bCs w:val="0"/>
        </w:rPr>
        <w:t>website của Chủ đầu tư</w:t>
      </w:r>
      <w:r>
        <w:t xml:space="preserve"> và các trang thông tin điện tử liên quan nhằm đảm bảo tiếp cận rộng rãi tới các đối tượng tham gia</w:t>
      </w:r>
      <w:r w:rsidR="001F0ABE">
        <w:t>.</w:t>
      </w:r>
    </w:p>
    <w:p w14:paraId="3249E567" w14:textId="553DABB3" w:rsidR="00C622D2" w:rsidRPr="00B23622" w:rsidRDefault="00F56D13" w:rsidP="00C524E5">
      <w:pPr>
        <w:pStyle w:val="5"/>
      </w:pPr>
      <w:r>
        <w:t>Các đơn vị, cá nhân tham gia gửi hồ sơ</w:t>
      </w:r>
      <w:r w:rsidR="00C524E5">
        <w:t xml:space="preserve"> dự thi</w:t>
      </w:r>
      <w:r>
        <w:t xml:space="preserve"> về Chủ đầu tư qua email: </w:t>
      </w:r>
      <w:hyperlink r:id="rId7" w:history="1">
        <w:r w:rsidR="00B23622" w:rsidRPr="00402222">
          <w:rPr>
            <w:rStyle w:val="Hyperlink"/>
            <w:color w:val="034990" w:themeColor="hyperlink" w:themeShade="BF"/>
            <w:u w:val="none"/>
          </w:rPr>
          <w:t>bankythuat@gipgroup.vn</w:t>
        </w:r>
      </w:hyperlink>
    </w:p>
    <w:p w14:paraId="26D36CD2" w14:textId="6B97716A" w:rsidR="00B23622" w:rsidRPr="00BD674E" w:rsidRDefault="00B23622" w:rsidP="00C524E5">
      <w:pPr>
        <w:pStyle w:val="5"/>
      </w:pPr>
      <w:r>
        <w:t xml:space="preserve">Mỗi đơn vị, cá nhân tham gia phải nộp tối </w:t>
      </w:r>
      <w:r w:rsidRPr="00B23622">
        <w:t xml:space="preserve">thiểu </w:t>
      </w:r>
      <w:r w:rsidRPr="00B23622">
        <w:rPr>
          <w:rStyle w:val="Strong"/>
          <w:b w:val="0"/>
          <w:bCs w:val="0"/>
        </w:rPr>
        <w:t>02 phương án dự thi</w:t>
      </w:r>
      <w:r w:rsidRPr="00B23622">
        <w:t>,</w:t>
      </w:r>
      <w:r>
        <w:t xml:space="preserve"> không giới hạn số lượng tối đa; mỗi phương án được cấp </w:t>
      </w:r>
      <w:r w:rsidRPr="00B23622">
        <w:rPr>
          <w:rStyle w:val="Strong"/>
          <w:b w:val="0"/>
          <w:bCs w:val="0"/>
        </w:rPr>
        <w:t>01 mã số riêng biệt</w:t>
      </w:r>
      <w:r>
        <w:t xml:space="preserve"> do Chủ đầu tư cung cấp và phải được gửi độc lập thành </w:t>
      </w:r>
      <w:r w:rsidRPr="00B23622">
        <w:rPr>
          <w:rStyle w:val="Strong"/>
          <w:b w:val="0"/>
          <w:bCs w:val="0"/>
        </w:rPr>
        <w:t>01 email riêng</w:t>
      </w:r>
      <w:r>
        <w:rPr>
          <w:rStyle w:val="Strong"/>
          <w:b w:val="0"/>
          <w:bCs w:val="0"/>
        </w:rPr>
        <w:t xml:space="preserve"> biệt</w:t>
      </w:r>
      <w:r>
        <w:t>.</w:t>
      </w:r>
    </w:p>
    <w:p w14:paraId="6EE1DCA8" w14:textId="304BB736" w:rsidR="004C5B4F" w:rsidRPr="004C5B4F" w:rsidRDefault="004C5B4F" w:rsidP="00A66AC8">
      <w:pPr>
        <w:pStyle w:val="4"/>
      </w:pPr>
      <w:r w:rsidRPr="004C5B4F">
        <w:t xml:space="preserve">Phạm vi </w:t>
      </w:r>
      <w:r w:rsidR="0059197B">
        <w:t xml:space="preserve">và nội dung </w:t>
      </w:r>
      <w:r w:rsidRPr="004C5B4F">
        <w:t>thiết kế</w:t>
      </w:r>
    </w:p>
    <w:p w14:paraId="5DDC5411" w14:textId="627FD32C" w:rsidR="0059197B" w:rsidRDefault="0059197B" w:rsidP="001F5DE6">
      <w:pPr>
        <w:pStyle w:val="5"/>
      </w:pPr>
      <w:r>
        <w:t xml:space="preserve">Phạm vi thi tuyển bao gồm việc đề xuất phương án thiết kế kiến trúc cho công </w:t>
      </w:r>
      <w:r w:rsidRPr="0059197B">
        <w:t>trình</w:t>
      </w:r>
      <w:r w:rsidRPr="0059197B">
        <w:rPr>
          <w:b/>
          <w:bCs/>
        </w:rPr>
        <w:t xml:space="preserve"> </w:t>
      </w:r>
      <w:r w:rsidRPr="0059197B">
        <w:rPr>
          <w:rStyle w:val="Strong"/>
          <w:b w:val="0"/>
          <w:bCs w:val="0"/>
        </w:rPr>
        <w:t xml:space="preserve">Biểu tượng </w:t>
      </w:r>
      <w:r w:rsidR="00A7508A">
        <w:rPr>
          <w:rStyle w:val="Strong"/>
          <w:b w:val="0"/>
          <w:bCs w:val="0"/>
        </w:rPr>
        <w:t xml:space="preserve">của </w:t>
      </w:r>
      <w:r w:rsidRPr="0059197B">
        <w:rPr>
          <w:rStyle w:val="Strong"/>
          <w:b w:val="0"/>
          <w:bCs w:val="0"/>
        </w:rPr>
        <w:t>Khu công nghiệp</w:t>
      </w:r>
      <w:r w:rsidRPr="0059197B">
        <w:rPr>
          <w:b/>
          <w:bCs/>
        </w:rPr>
        <w:t xml:space="preserve"> </w:t>
      </w:r>
      <w:r w:rsidRPr="0059197B">
        <w:t>theo vị</w:t>
      </w:r>
      <w:r>
        <w:t xml:space="preserve"> trí, quy mô và các yêu cầu đã được xác định trong Nhiệm vụ thiết kế được phê duyệt.</w:t>
      </w:r>
    </w:p>
    <w:p w14:paraId="3A45F50A" w14:textId="071054DF" w:rsidR="0059197B" w:rsidRPr="0059197B" w:rsidRDefault="0059197B" w:rsidP="0059197B">
      <w:pPr>
        <w:pStyle w:val="5"/>
      </w:pPr>
      <w:r>
        <w:t>Nội dung thiết kế phải đảm bảo:</w:t>
      </w:r>
    </w:p>
    <w:p w14:paraId="28D65EF8" w14:textId="77777777" w:rsidR="0059197B" w:rsidRPr="0059197B" w:rsidRDefault="0059197B" w:rsidP="00E4759D">
      <w:pPr>
        <w:pStyle w:val="6"/>
        <w:ind w:left="867" w:hanging="357"/>
      </w:pPr>
      <w:r w:rsidRPr="0059197B">
        <w:t xml:space="preserve">Phù hợp với quy hoạch và định hướng phát triển chung của Khu công nghiệp; </w:t>
      </w:r>
    </w:p>
    <w:p w14:paraId="43061DDF" w14:textId="77777777" w:rsidR="0059197B" w:rsidRPr="0059197B" w:rsidRDefault="0059197B" w:rsidP="00E4759D">
      <w:pPr>
        <w:pStyle w:val="6"/>
        <w:ind w:left="867" w:hanging="357"/>
      </w:pPr>
      <w:r w:rsidRPr="0059197B">
        <w:t xml:space="preserve">Thể hiện được tính chất biểu tượng, nhận diện và đặc trưng của Khu công nghiệp; </w:t>
      </w:r>
    </w:p>
    <w:p w14:paraId="53BF573A" w14:textId="6A1633F3" w:rsidR="0059197B" w:rsidRDefault="0059197B" w:rsidP="00E4759D">
      <w:pPr>
        <w:pStyle w:val="6"/>
        <w:ind w:left="867" w:hanging="357"/>
      </w:pPr>
      <w:r w:rsidRPr="0059197B">
        <w:lastRenderedPageBreak/>
        <w:t xml:space="preserve">Đáp ứng các yêu cầu về kỹ thuật, mỹ thuật và khả năng triển khai thực tế. </w:t>
      </w:r>
    </w:p>
    <w:p w14:paraId="14BA6201" w14:textId="4412A963" w:rsidR="004C5B4F" w:rsidRPr="004C5B4F" w:rsidRDefault="004C5B4F" w:rsidP="001F5DE6">
      <w:pPr>
        <w:pStyle w:val="3"/>
      </w:pPr>
      <w:r w:rsidRPr="004C5B4F">
        <w:t>ĐỐI TƯỢNG VÀ ĐIỀU KIỆN THAM GIA</w:t>
      </w:r>
    </w:p>
    <w:p w14:paraId="4D4E6B99" w14:textId="70D3E94F" w:rsidR="004C5B4F" w:rsidRDefault="004C5B4F" w:rsidP="006A6ABC">
      <w:pPr>
        <w:pStyle w:val="4"/>
        <w:numPr>
          <w:ilvl w:val="0"/>
          <w:numId w:val="6"/>
        </w:numPr>
      </w:pPr>
      <w:r w:rsidRPr="004C5B4F">
        <w:t>Đối tượng</w:t>
      </w:r>
    </w:p>
    <w:p w14:paraId="0CAA7B75" w14:textId="38C150D0" w:rsidR="00B50030" w:rsidRPr="004C5B4F" w:rsidRDefault="00091AD3" w:rsidP="00091AD3">
      <w:pPr>
        <w:pStyle w:val="5"/>
        <w:ind w:left="714" w:hanging="357"/>
      </w:pPr>
      <w:r>
        <w:t xml:space="preserve">Đối tượng tham gia là </w:t>
      </w:r>
      <w:r w:rsidRPr="00091AD3">
        <w:rPr>
          <w:rStyle w:val="Strong"/>
          <w:b w:val="0"/>
          <w:bCs w:val="0"/>
        </w:rPr>
        <w:t>các tổ chức, cá nhân trong nước</w:t>
      </w:r>
      <w:r>
        <w:t>, bao gồm cả các đơn vị, cá nhân hành nghề chuyên nghiệp và không chuyên nghiệp.</w:t>
      </w:r>
      <w:r w:rsidRPr="00B50030">
        <w:t xml:space="preserve"> </w:t>
      </w:r>
    </w:p>
    <w:p w14:paraId="321ABBB6" w14:textId="60DB16A9" w:rsidR="004C5B4F" w:rsidRPr="004C5B4F" w:rsidRDefault="004C5B4F" w:rsidP="001F5DE6">
      <w:pPr>
        <w:pStyle w:val="4"/>
      </w:pPr>
      <w:r w:rsidRPr="004C5B4F">
        <w:t>Điều kiện</w:t>
      </w:r>
      <w:r w:rsidR="003B230E">
        <w:t xml:space="preserve"> tham gia</w:t>
      </w:r>
    </w:p>
    <w:p w14:paraId="3E484BC8" w14:textId="77777777" w:rsidR="0030680F" w:rsidRDefault="003B230E" w:rsidP="0030680F">
      <w:pPr>
        <w:pStyle w:val="5"/>
      </w:pPr>
      <w:r w:rsidRPr="003B230E">
        <w:t>Các đơn vị</w:t>
      </w:r>
      <w:r w:rsidR="0030680F">
        <w:t>, các nhân</w:t>
      </w:r>
      <w:r w:rsidRPr="003B230E">
        <w:t xml:space="preserve"> tham gia thi tuyển phải đáp ứng các điều kiện sau:</w:t>
      </w:r>
    </w:p>
    <w:p w14:paraId="6B24CFA1" w14:textId="72F86504" w:rsidR="0030680F" w:rsidRDefault="0030680F" w:rsidP="0030680F">
      <w:pPr>
        <w:pStyle w:val="6"/>
        <w:ind w:left="867" w:hanging="357"/>
      </w:pPr>
      <w:r>
        <w:t>Có đầy đủ năng lực hành vi dân sự theo quy định của pháp luật;</w:t>
      </w:r>
    </w:p>
    <w:p w14:paraId="7E3E381D" w14:textId="3A047EA1" w:rsidR="0030680F" w:rsidRDefault="0030680F" w:rsidP="0030680F">
      <w:pPr>
        <w:pStyle w:val="6"/>
        <w:ind w:left="867" w:hanging="357"/>
      </w:pPr>
      <w:r>
        <w:t>Đối với tổ chức, phải có tư cách pháp nhân hợp lệ; đối với cá nhân, chịu trách nhiệm trước pháp luật về hồ sơ dự thi của mình;</w:t>
      </w:r>
    </w:p>
    <w:p w14:paraId="33FBAEA4" w14:textId="52628885" w:rsidR="0030680F" w:rsidRDefault="0030680F" w:rsidP="0030680F">
      <w:pPr>
        <w:pStyle w:val="6"/>
        <w:ind w:left="867" w:hanging="357"/>
      </w:pPr>
      <w:r>
        <w:t>Hồ sơ dự thi phải do chính đơn vị, cá nhân tham gia thực hiện, đảm bảo tính trung thực, không sao chép và không vi phạm bản quyền;</w:t>
      </w:r>
    </w:p>
    <w:p w14:paraId="79734A49" w14:textId="3DC1AE5B" w:rsidR="00E4759D" w:rsidRDefault="0030680F" w:rsidP="00E4759D">
      <w:pPr>
        <w:pStyle w:val="6"/>
        <w:ind w:left="867" w:hanging="357"/>
      </w:pPr>
      <w:r>
        <w:t>Cam kết tuân thủ đầy đủ các quy định tại Quy chế thi tuyển và các yêu cầu của Chủ đầu tư;</w:t>
      </w:r>
    </w:p>
    <w:p w14:paraId="516FA39D" w14:textId="77777777" w:rsidR="00E4759D" w:rsidRPr="004C5B4F" w:rsidRDefault="00E4759D" w:rsidP="00E4759D">
      <w:pPr>
        <w:pStyle w:val="3"/>
      </w:pPr>
      <w:r w:rsidRPr="004C5B4F">
        <w:t>QUY TRÌNH TỔ CHỨC THI TUYỂN</w:t>
      </w:r>
    </w:p>
    <w:p w14:paraId="42E49254" w14:textId="77777777" w:rsidR="00E4759D" w:rsidRPr="004C5B4F" w:rsidRDefault="00E4759D" w:rsidP="00926AB7">
      <w:pPr>
        <w:pStyle w:val="4"/>
        <w:numPr>
          <w:ilvl w:val="0"/>
          <w:numId w:val="28"/>
        </w:numPr>
      </w:pPr>
      <w:r>
        <w:t>Công bố và phát hành tài liệu thi tuyển</w:t>
      </w:r>
    </w:p>
    <w:p w14:paraId="55CE879E" w14:textId="593B7419" w:rsidR="00E4759D" w:rsidRPr="00AE1102" w:rsidRDefault="00BE5EFC" w:rsidP="0026391C">
      <w:pPr>
        <w:pStyle w:val="5"/>
      </w:pPr>
      <w:r>
        <w:t xml:space="preserve">Chủ đầu tư tổ chức công bố thông tin cuộc thi trên </w:t>
      </w:r>
      <w:r>
        <w:rPr>
          <w:rStyle w:val="Strong"/>
        </w:rPr>
        <w:t>website của Công ty</w:t>
      </w:r>
      <w:r>
        <w:t xml:space="preserve"> và các trang thông tin điện tử uy tín nhằm đảm bảo tiếp cận rộng rãi tới các tổ chức, cá nhân quan tâm; đồng thời, hồ sơ mời thi được gửi trực tiếp qua email tới các đơn vị tư vấn kiến trúc uy tín và các trường đại học đào tạo chuyên ngành kiến trúc trên phạm vi cả nước;</w:t>
      </w:r>
    </w:p>
    <w:p w14:paraId="6F358FD6" w14:textId="6656411F" w:rsidR="00E4759D" w:rsidRPr="00AE1102" w:rsidRDefault="00E4759D" w:rsidP="00E4759D">
      <w:pPr>
        <w:pStyle w:val="5"/>
      </w:pPr>
      <w:r w:rsidRPr="00AE1102">
        <w:t xml:space="preserve">Hồ sơ mời </w:t>
      </w:r>
      <w:r w:rsidR="0026391C">
        <w:t xml:space="preserve">dự </w:t>
      </w:r>
      <w:r w:rsidRPr="00AE1102">
        <w:t>thi, bao g</w:t>
      </w:r>
      <w:bookmarkStart w:id="0" w:name="_GoBack"/>
      <w:bookmarkEnd w:id="0"/>
      <w:r w:rsidRPr="00AE1102">
        <w:t xml:space="preserve">ồm: Nhiệm vụ thiết kế, Quy chế thi tuyển và các tài liệu liên quan được đăng tải đồng thời cùng thông báo cuộc thi; </w:t>
      </w:r>
    </w:p>
    <w:p w14:paraId="74DC03F8" w14:textId="77777777" w:rsidR="00E4759D" w:rsidRPr="00AE1102" w:rsidRDefault="00E4759D" w:rsidP="00E4759D">
      <w:pPr>
        <w:pStyle w:val="5"/>
      </w:pPr>
      <w:r>
        <w:t>Các tổ chức, cá nhân có nhu cầu tham gia thực hiện tải hồ sơ mời thi để nghiên cứu, phát triển phương án thiết kế; sau đó lập và gửi hồ sơ dự thi theo đúng quy định của Quy chế về địa chỉ email của Chủ đầu tư</w:t>
      </w:r>
      <w:r w:rsidRPr="00AE1102">
        <w:t>.</w:t>
      </w:r>
    </w:p>
    <w:p w14:paraId="37912B6B" w14:textId="77777777" w:rsidR="00E4759D" w:rsidRPr="004C5B4F" w:rsidRDefault="00E4759D" w:rsidP="00E4759D">
      <w:pPr>
        <w:pStyle w:val="4"/>
      </w:pPr>
      <w:r w:rsidRPr="004C5B4F">
        <w:t>Nộp hồ sơ dự thi</w:t>
      </w:r>
    </w:p>
    <w:p w14:paraId="573B781E" w14:textId="77777777" w:rsidR="00E4759D" w:rsidRDefault="00E4759D" w:rsidP="00E4759D">
      <w:pPr>
        <w:pStyle w:val="5"/>
      </w:pPr>
      <w:r>
        <w:t xml:space="preserve">Các đơn vị tham gia nộp hồ sơ dự thi theo đúng thời gian và địa điểm quy định; </w:t>
      </w:r>
    </w:p>
    <w:p w14:paraId="47AE9AC2" w14:textId="1563F36A" w:rsidR="00003931" w:rsidRPr="00F4090A" w:rsidRDefault="00B27A4D" w:rsidP="00003931">
      <w:pPr>
        <w:pStyle w:val="5"/>
      </w:pPr>
      <w:r w:rsidRPr="00F4090A">
        <w:t>Các đơn vị, cá nhân tham gia dự thi gửi hồ sơ dự thi dưới dạng file đính kèm qua email chính thức của tổ chức/cá nhân về địa chỉ</w:t>
      </w:r>
      <w:r w:rsidR="00E4759D" w:rsidRPr="00F4090A">
        <w:t xml:space="preserve">: </w:t>
      </w:r>
      <w:hyperlink r:id="rId8" w:history="1">
        <w:r w:rsidR="00E4759D" w:rsidRPr="00B81193">
          <w:rPr>
            <w:rStyle w:val="Hyperlink"/>
            <w:color w:val="auto"/>
            <w:u w:val="none"/>
          </w:rPr>
          <w:t>bankythuat@gipgroup.vn</w:t>
        </w:r>
      </w:hyperlink>
    </w:p>
    <w:p w14:paraId="1B57254F" w14:textId="5D85803A" w:rsidR="00003931" w:rsidRPr="00F4090A" w:rsidRDefault="00B27A4D" w:rsidP="00420AA2">
      <w:pPr>
        <w:pStyle w:val="5"/>
      </w:pPr>
      <w:r w:rsidRPr="00F4090A">
        <w:t>Thời gian tổ chức cuộc thi được quy định chi tiết trong Th</w:t>
      </w:r>
      <w:r w:rsidR="00EC6CAC" w:rsidRPr="00F4090A">
        <w:t>ư mời tham dự</w:t>
      </w:r>
      <w:r w:rsidRPr="00F4090A">
        <w:t xml:space="preserve"> cuộc thi đăng tải trên website của Công ty và các kênh thông tin điện tử liên quan</w:t>
      </w:r>
      <w:r w:rsidR="00003931" w:rsidRPr="00F4090A">
        <w:t xml:space="preserve">; </w:t>
      </w:r>
    </w:p>
    <w:p w14:paraId="72018ECA" w14:textId="11736BDF" w:rsidR="00003931" w:rsidRPr="00897C86" w:rsidRDefault="00003931" w:rsidP="00420AA2">
      <w:pPr>
        <w:pStyle w:val="5"/>
      </w:pPr>
      <w:r w:rsidRPr="00897C86">
        <w:t>Các tổ chức, cá nhân tham gia nộp hồ sơ dự thi trong thời gian nêu trên theo quy định</w:t>
      </w:r>
      <w:r w:rsidR="00420AA2" w:rsidRPr="00897C86">
        <w:t>,</w:t>
      </w:r>
      <w:r w:rsidRPr="00897C86">
        <w:t xml:space="preserve"> hồ sơ nộp sau thời hạn sẽ không được xem xét.</w:t>
      </w:r>
    </w:p>
    <w:p w14:paraId="5286DA33" w14:textId="77777777" w:rsidR="00E4759D" w:rsidRPr="004C5B4F" w:rsidRDefault="00E4759D" w:rsidP="00E4759D">
      <w:pPr>
        <w:pStyle w:val="4"/>
      </w:pPr>
      <w:r>
        <w:t>Kiểm tra và đánh giá hồ sơ dự thi</w:t>
      </w:r>
    </w:p>
    <w:p w14:paraId="1A6DBF0E" w14:textId="77777777" w:rsidR="00E4759D" w:rsidRDefault="00E4759D" w:rsidP="00E4759D">
      <w:pPr>
        <w:pStyle w:val="5"/>
      </w:pPr>
      <w:r w:rsidRPr="000E5091">
        <w:t>Chủ đầu tư tổ chức kiểm tra tính hợp lệ của hồ sơ dự thi, bao gồm:</w:t>
      </w:r>
    </w:p>
    <w:p w14:paraId="7F473E78" w14:textId="77777777" w:rsidR="00E4759D" w:rsidRDefault="00E4759D" w:rsidP="00E4759D">
      <w:pPr>
        <w:pStyle w:val="6"/>
        <w:ind w:left="867" w:hanging="357"/>
      </w:pPr>
      <w:r w:rsidRPr="000E5091">
        <w:t>Thành phần hồ sơ;</w:t>
      </w:r>
    </w:p>
    <w:p w14:paraId="6B347F3F" w14:textId="77777777" w:rsidR="00E4759D" w:rsidRPr="000E5091" w:rsidRDefault="00E4759D" w:rsidP="00E4759D">
      <w:pPr>
        <w:pStyle w:val="6"/>
        <w:ind w:left="867" w:hanging="357"/>
      </w:pPr>
      <w:r w:rsidRPr="000E5091">
        <w:t xml:space="preserve">Mức độ đáp ứng Nhiệm vụ thiết kế; </w:t>
      </w:r>
    </w:p>
    <w:p w14:paraId="58028541" w14:textId="77777777" w:rsidR="00E4759D" w:rsidRPr="000E5091" w:rsidRDefault="00E4759D" w:rsidP="00E4759D">
      <w:pPr>
        <w:pStyle w:val="5"/>
      </w:pPr>
      <w:r w:rsidRPr="000E5091">
        <w:lastRenderedPageBreak/>
        <w:t xml:space="preserve">Các hồ sơ hợp lệ được đưa vào đánh giá chính thức; </w:t>
      </w:r>
    </w:p>
    <w:p w14:paraId="73BEE1B5" w14:textId="77777777" w:rsidR="00E4759D" w:rsidRPr="000E5091" w:rsidRDefault="00E4759D" w:rsidP="00E4759D">
      <w:pPr>
        <w:pStyle w:val="5"/>
      </w:pPr>
      <w:r w:rsidRPr="000E5091">
        <w:t xml:space="preserve">Hội đồng tổ chức chấm điểm trực tiếp các phương án dự thi theo tiêu chí và thang điểm </w:t>
      </w:r>
      <w:r>
        <w:t>theo mẫu phiếu chấm điểm</w:t>
      </w:r>
      <w:r w:rsidRPr="000E5091">
        <w:t xml:space="preserve"> tại Quy chế này; </w:t>
      </w:r>
    </w:p>
    <w:p w14:paraId="7CE5C773" w14:textId="77777777" w:rsidR="00E4759D" w:rsidRPr="000E5091" w:rsidRDefault="00E4759D" w:rsidP="00E4759D">
      <w:pPr>
        <w:pStyle w:val="5"/>
      </w:pPr>
      <w:r w:rsidRPr="000E5091">
        <w:t xml:space="preserve">Trường hợp cần thiết, Hội đồng có thể yêu cầu đơn vị dự thi làm rõ hoặc trình bày bổ sung phương án (trực tiếp hoặc trực tuyến). </w:t>
      </w:r>
    </w:p>
    <w:p w14:paraId="162179CC" w14:textId="77777777" w:rsidR="00E4759D" w:rsidRPr="004C5B4F" w:rsidRDefault="00E4759D" w:rsidP="00E4759D">
      <w:pPr>
        <w:pStyle w:val="4"/>
      </w:pPr>
      <w:r w:rsidRPr="004C5B4F">
        <w:t>Xếp hạng</w:t>
      </w:r>
      <w:r>
        <w:t xml:space="preserve"> và báo cáo kết quả</w:t>
      </w:r>
    </w:p>
    <w:p w14:paraId="1D4A33B2" w14:textId="77777777" w:rsidR="00E4759D" w:rsidRDefault="00E4759D" w:rsidP="00E4759D">
      <w:pPr>
        <w:pStyle w:val="5"/>
      </w:pPr>
      <w:r>
        <w:t xml:space="preserve">Hội đồng tổng hợp điểm, xếp hạng các phương án theo thứ tự từ cao xuống thấp; </w:t>
      </w:r>
    </w:p>
    <w:p w14:paraId="2C7CF92B" w14:textId="2A458CB7" w:rsidR="00E4759D" w:rsidRDefault="00E4759D" w:rsidP="00E4759D">
      <w:pPr>
        <w:pStyle w:val="5"/>
      </w:pPr>
      <w:r>
        <w:t>Lập báo cáo kết quả thi tuyển, đề xuất phương án lựa chọn trình Chủ đầu tư xem xét, quyết định</w:t>
      </w:r>
      <w:r w:rsidR="004149C4">
        <w:t>.</w:t>
      </w:r>
    </w:p>
    <w:p w14:paraId="78395973" w14:textId="3D060814" w:rsidR="004149C4" w:rsidRDefault="004149C4" w:rsidP="004149C4">
      <w:pPr>
        <w:pStyle w:val="4"/>
      </w:pPr>
      <w:r>
        <w:t>Công bố kết quả</w:t>
      </w:r>
    </w:p>
    <w:p w14:paraId="59A58091" w14:textId="2B1D318D" w:rsidR="00FB26C4" w:rsidRPr="00FB26C4" w:rsidRDefault="00FB26C4" w:rsidP="00FB26C4">
      <w:pPr>
        <w:pStyle w:val="5"/>
      </w:pPr>
      <w:r w:rsidRPr="00FB26C4">
        <w:t xml:space="preserve">Kết quả chính thức được công bố trên website của Công ty; </w:t>
      </w:r>
    </w:p>
    <w:p w14:paraId="2B70B5CB" w14:textId="27EBB61F" w:rsidR="004149C4" w:rsidRDefault="00FB26C4" w:rsidP="00FB26C4">
      <w:pPr>
        <w:pStyle w:val="5"/>
      </w:pPr>
      <w:r w:rsidRPr="00FB26C4">
        <w:t>Đồng thời, Chủ đầu tư thông báo trực tiếp qua email tới các tổ chức, cá nhân có phương án đạt giải để thực hiện các thủ tục liên quan</w:t>
      </w:r>
      <w:r w:rsidR="005E5E3E">
        <w:t>.</w:t>
      </w:r>
    </w:p>
    <w:p w14:paraId="00E2D082" w14:textId="56F5BDBE" w:rsidR="004C5B4F" w:rsidRPr="004C5B4F" w:rsidRDefault="004C5B4F" w:rsidP="001F5DE6">
      <w:pPr>
        <w:pStyle w:val="3"/>
      </w:pPr>
      <w:r w:rsidRPr="004C5B4F">
        <w:t>HỒ SƠ DỰ THI</w:t>
      </w:r>
    </w:p>
    <w:p w14:paraId="3BE2DFA4" w14:textId="77777777" w:rsidR="001F5DE6" w:rsidRDefault="004C5B4F" w:rsidP="006A6ABC">
      <w:pPr>
        <w:pStyle w:val="4"/>
        <w:numPr>
          <w:ilvl w:val="0"/>
          <w:numId w:val="8"/>
        </w:numPr>
      </w:pPr>
      <w:r w:rsidRPr="004C5B4F">
        <w:t>Thành phần hồ sơ</w:t>
      </w:r>
    </w:p>
    <w:p w14:paraId="77D52C22" w14:textId="40EF2B43" w:rsidR="00085123" w:rsidRDefault="00085123" w:rsidP="00085123">
      <w:pPr>
        <w:pStyle w:val="51"/>
      </w:pPr>
      <w:r>
        <w:t>Hồ sơ dự thi phải thể hiện đầy đủ ý tưởng và giải pháp thiết kế, bao gồm các nội dung chính sau:</w:t>
      </w:r>
    </w:p>
    <w:p w14:paraId="325B89C6" w14:textId="39348F8B" w:rsidR="00244514" w:rsidRPr="00085123" w:rsidRDefault="00244514" w:rsidP="00244514">
      <w:pPr>
        <w:pStyle w:val="5"/>
        <w:ind w:left="714" w:hanging="357"/>
      </w:pPr>
      <w:r w:rsidRPr="00244514">
        <w:rPr>
          <w:b/>
          <w:bCs/>
        </w:rPr>
        <w:t>Phiếu đăng ký tham gia dự thi</w:t>
      </w:r>
      <w:r>
        <w:t>: Điền đầy đủ thông tin</w:t>
      </w:r>
      <w:r w:rsidR="0026391C">
        <w:t>, xác nhận. Đối với tổ chức cần đóng dấu thể hiện sự đồng thuận của tổ chức khi tham gia.</w:t>
      </w:r>
    </w:p>
    <w:p w14:paraId="05F73BAB" w14:textId="10A04CC6" w:rsidR="005C5065" w:rsidRPr="007671E2" w:rsidRDefault="004C5B4F" w:rsidP="005C5065">
      <w:pPr>
        <w:pStyle w:val="5"/>
        <w:rPr>
          <w:szCs w:val="27"/>
        </w:rPr>
      </w:pPr>
      <w:r w:rsidRPr="005C0B9F">
        <w:rPr>
          <w:b/>
          <w:bCs/>
        </w:rPr>
        <w:t>Hồ sơ bản vẽ</w:t>
      </w:r>
      <w:r w:rsidR="007671E2" w:rsidRPr="005C0B9F">
        <w:rPr>
          <w:b/>
          <w:bCs/>
        </w:rPr>
        <w:t>:</w:t>
      </w:r>
      <w:r w:rsidR="007671E2">
        <w:t xml:space="preserve"> </w:t>
      </w:r>
      <w:r w:rsidR="005C5065">
        <w:t>Mặt bằng tổng thể; mặt bằng, mặt đứng, mặt cắt công trình; sơ đồ ý tưởng (concept) và các bản vẽ thể hiện giải pháp kiến trúc, tổ chức không gian và mối liên hệ với cảnh quan xung quanh.</w:t>
      </w:r>
    </w:p>
    <w:p w14:paraId="70AE0AFD" w14:textId="7AEFD774" w:rsidR="007671E2" w:rsidRPr="007671E2" w:rsidRDefault="007671E2" w:rsidP="005C5065">
      <w:pPr>
        <w:pStyle w:val="5"/>
        <w:rPr>
          <w:szCs w:val="27"/>
        </w:rPr>
      </w:pPr>
      <w:r w:rsidRPr="005C0B9F">
        <w:rPr>
          <w:b/>
          <w:bCs/>
        </w:rPr>
        <w:t>Hồ sơ phối cảnh</w:t>
      </w:r>
      <w:r w:rsidR="00D75F8A">
        <w:rPr>
          <w:b/>
          <w:bCs/>
        </w:rPr>
        <w:t xml:space="preserve"> 3D</w:t>
      </w:r>
      <w:r w:rsidRPr="005C0B9F">
        <w:rPr>
          <w:b/>
          <w:bCs/>
        </w:rPr>
        <w:t>:</w:t>
      </w:r>
      <w:r>
        <w:t xml:space="preserve"> Phối cảnh tổng thể công trình (ban ngày); phối cảnh ban đêm thể hiện giải pháp chiếu sáng; các góc nhìn chính từ các hướng tiếp cận (tối thiểu 04 hướng); khuyến khích bổ sung các góc nhìn đặc trưng nếu cần.</w:t>
      </w:r>
    </w:p>
    <w:p w14:paraId="22F2AB85" w14:textId="392CF3D2" w:rsidR="007671E2" w:rsidRPr="007671E2" w:rsidRDefault="007671E2" w:rsidP="005C5065">
      <w:pPr>
        <w:pStyle w:val="5"/>
        <w:rPr>
          <w:szCs w:val="27"/>
        </w:rPr>
      </w:pPr>
      <w:r w:rsidRPr="005C0B9F">
        <w:rPr>
          <w:b/>
          <w:bCs/>
        </w:rPr>
        <w:t>Thuyết minh phương án:</w:t>
      </w:r>
      <w:r>
        <w:t xml:space="preserve"> Trình bày ý tưởng thiết kế; giải pháp kiến trúc; giải pháp kết cấu sơ bộ; vật liệu chủ đạo; phương án chiếu sáng; đánh giá sơ bộ chi phí đầu tư và các nội dung liên quan nhằm làm rõ phương án.</w:t>
      </w:r>
    </w:p>
    <w:p w14:paraId="2926F23A" w14:textId="6852BC2C" w:rsidR="004C5B4F" w:rsidRPr="004C5B4F" w:rsidRDefault="004C5B4F" w:rsidP="001F5DE6">
      <w:pPr>
        <w:pStyle w:val="4"/>
      </w:pPr>
      <w:r w:rsidRPr="004C5B4F">
        <w:t>Yêu cầu trình bày</w:t>
      </w:r>
      <w:r w:rsidR="005C0B9F">
        <w:t xml:space="preserve"> hồ sơ</w:t>
      </w:r>
    </w:p>
    <w:p w14:paraId="56275BA8" w14:textId="067874E6" w:rsidR="004C5B4F" w:rsidRPr="004C5B4F" w:rsidRDefault="004C5B4F" w:rsidP="001F5DE6">
      <w:pPr>
        <w:pStyle w:val="5"/>
      </w:pPr>
      <w:r w:rsidRPr="004C5B4F">
        <w:t>Hồ</w:t>
      </w:r>
      <w:r w:rsidR="005C0B9F">
        <w:t xml:space="preserve"> sơ dự thi được nộp dưới dạng bản in và file điện tử (PDF, DWG,..)</w:t>
      </w:r>
    </w:p>
    <w:p w14:paraId="3EF42BE6" w14:textId="011F2968" w:rsidR="004C5B4F" w:rsidRDefault="004C5B4F" w:rsidP="001F5DE6">
      <w:pPr>
        <w:pStyle w:val="5"/>
      </w:pPr>
      <w:r w:rsidRPr="004C5B4F">
        <w:t>Ngôn ngữ</w:t>
      </w:r>
      <w:r w:rsidR="005C0B9F">
        <w:t xml:space="preserve"> sử dụng trong hồ sơ là tiếng Việt;</w:t>
      </w:r>
    </w:p>
    <w:p w14:paraId="238430F5" w14:textId="75929C5F" w:rsidR="005C0B9F" w:rsidRPr="004C5B4F" w:rsidRDefault="005C0B9F" w:rsidP="001F5DE6">
      <w:pPr>
        <w:pStyle w:val="5"/>
      </w:pPr>
      <w:r>
        <w:t>Hồ sơ phải được trình bày rõ r</w:t>
      </w:r>
      <w:r w:rsidR="00E4759D">
        <w:t>àng</w:t>
      </w:r>
      <w:r>
        <w:t>, khoa học, đảm bảo thể hiện đầy đủ nội dung theo yêu cầu c</w:t>
      </w:r>
      <w:r w:rsidR="00D75F8A">
        <w:t>ủa</w:t>
      </w:r>
      <w:r>
        <w:t xml:space="preserve"> Quy chế và Nhiệm vụ thiết kế.</w:t>
      </w:r>
    </w:p>
    <w:p w14:paraId="3844F7AA" w14:textId="4BC76C9A" w:rsidR="004C5B4F" w:rsidRPr="004C5B4F" w:rsidRDefault="004C5B4F" w:rsidP="001F5DE6">
      <w:pPr>
        <w:pStyle w:val="4"/>
      </w:pPr>
      <w:r w:rsidRPr="004C5B4F">
        <w:t>Nguyên tắc ẩn danh</w:t>
      </w:r>
    </w:p>
    <w:p w14:paraId="48DDF7D2" w14:textId="2452597F" w:rsidR="004C5B4F" w:rsidRPr="004C5B4F" w:rsidRDefault="004C5B4F" w:rsidP="001F5DE6">
      <w:pPr>
        <w:pStyle w:val="5"/>
      </w:pPr>
      <w:r w:rsidRPr="004C5B4F">
        <w:t xml:space="preserve">Hồ </w:t>
      </w:r>
      <w:r w:rsidR="005C0B9F">
        <w:t xml:space="preserve">sơ </w:t>
      </w:r>
      <w:r w:rsidR="005C0B9F" w:rsidRPr="005C0B9F">
        <w:t xml:space="preserve">dự thi </w:t>
      </w:r>
      <w:r w:rsidR="005C0B9F" w:rsidRPr="005C0B9F">
        <w:rPr>
          <w:rStyle w:val="Strong"/>
          <w:b w:val="0"/>
          <w:bCs w:val="0"/>
        </w:rPr>
        <w:t>không được thể hiện tên, logo hoặc bất kỳ dấu hiệu nhận biết nào của đơn vị tham gia</w:t>
      </w:r>
      <w:r w:rsidR="005C0B9F" w:rsidRPr="005C0B9F">
        <w:rPr>
          <w:b/>
          <w:bCs/>
        </w:rPr>
        <w:t xml:space="preserve"> </w:t>
      </w:r>
      <w:r w:rsidR="005C0B9F" w:rsidRPr="005C0B9F">
        <w:t>trên toàn bộ tài liệu dự thi</w:t>
      </w:r>
      <w:r w:rsidR="005C0B9F">
        <w:t>;</w:t>
      </w:r>
    </w:p>
    <w:p w14:paraId="6A7E393D" w14:textId="711FEE66" w:rsidR="004C5B4F" w:rsidRDefault="005C0B9F" w:rsidP="001F5DE6">
      <w:pPr>
        <w:pStyle w:val="5"/>
      </w:pPr>
      <w:r>
        <w:t xml:space="preserve">Mỗi phương án dự thi </w:t>
      </w:r>
      <w:r w:rsidR="00402CD7">
        <w:t xml:space="preserve">sẽ </w:t>
      </w:r>
      <w:r>
        <w:t xml:space="preserve">được </w:t>
      </w:r>
      <w:r w:rsidR="00402CD7">
        <w:t>đặt tên bằng một mã số r</w:t>
      </w:r>
      <w:r w:rsidRPr="005C0B9F">
        <w:rPr>
          <w:rStyle w:val="Strong"/>
          <w:b w:val="0"/>
          <w:bCs w:val="0"/>
        </w:rPr>
        <w:t>iêng</w:t>
      </w:r>
      <w:r w:rsidR="00402CD7">
        <w:rPr>
          <w:rStyle w:val="Strong"/>
          <w:b w:val="0"/>
          <w:bCs w:val="0"/>
        </w:rPr>
        <w:t xml:space="preserve"> (mã này đồng thời được gửi cho bên dự thi qua email)</w:t>
      </w:r>
      <w:r>
        <w:t>, đảm bảo không thể nhận diện đơn vị tham gia trong quá trình chấm thi;</w:t>
      </w:r>
    </w:p>
    <w:p w14:paraId="19CD1B73" w14:textId="23686825" w:rsidR="005C0B9F" w:rsidRPr="00971DCF" w:rsidRDefault="005C0B9F" w:rsidP="001F5DE6">
      <w:pPr>
        <w:pStyle w:val="5"/>
      </w:pPr>
      <w:r>
        <w:lastRenderedPageBreak/>
        <w:t>Việc xác định thông tin đơn vị tham gia chỉ được thực hiện sau khi hoàn thành công tác chấm thi theo quy định.</w:t>
      </w:r>
    </w:p>
    <w:p w14:paraId="0766CEF4" w14:textId="7336468B" w:rsidR="004C5B4F" w:rsidRPr="004C5B4F" w:rsidRDefault="004C5B4F" w:rsidP="009464DE">
      <w:pPr>
        <w:pStyle w:val="3"/>
      </w:pPr>
      <w:r w:rsidRPr="004C5B4F">
        <w:t>TIÊU CHÍ ĐÁNH GIÁ</w:t>
      </w:r>
    </w:p>
    <w:p w14:paraId="0E1E0870" w14:textId="449BC6C7" w:rsidR="004C5B4F" w:rsidRPr="004C5B4F" w:rsidRDefault="004C5B4F" w:rsidP="006A6ABC">
      <w:pPr>
        <w:pStyle w:val="4"/>
        <w:numPr>
          <w:ilvl w:val="0"/>
          <w:numId w:val="9"/>
        </w:numPr>
      </w:pPr>
      <w:r w:rsidRPr="004C5B4F">
        <w:t>Nguyên tắc chung</w:t>
      </w:r>
    </w:p>
    <w:p w14:paraId="31366118" w14:textId="6C2E7C16" w:rsidR="004C5B4F" w:rsidRPr="004C5B4F" w:rsidRDefault="00996A77" w:rsidP="009464DE">
      <w:pPr>
        <w:pStyle w:val="5"/>
      </w:pPr>
      <w:r>
        <w:t xml:space="preserve">Việc đánh giá phương án dự thi được thực hiện theo </w:t>
      </w:r>
      <w:r w:rsidRPr="00996A77">
        <w:rPr>
          <w:rStyle w:val="Strong"/>
          <w:b w:val="0"/>
          <w:bCs w:val="0"/>
        </w:rPr>
        <w:t>thang điểm 10</w:t>
      </w:r>
      <w:r>
        <w:t>, trên cơ sở các tiêu chí và trọng số đã được quy định</w:t>
      </w:r>
      <w:r w:rsidR="00141579">
        <w:t xml:space="preserve"> </w:t>
      </w:r>
      <w:r w:rsidR="00141579" w:rsidRPr="00141579">
        <w:rPr>
          <w:i/>
          <w:iCs/>
        </w:rPr>
        <w:t>(Mẫu phiếu chấm điểm đính kèm)</w:t>
      </w:r>
      <w:r w:rsidRPr="00141579">
        <w:t>;</w:t>
      </w:r>
    </w:p>
    <w:p w14:paraId="442EFFB9" w14:textId="5A153BFC" w:rsidR="00996A77" w:rsidRDefault="00996A77" w:rsidP="009464DE">
      <w:pPr>
        <w:pStyle w:val="5"/>
      </w:pPr>
      <w:r>
        <w:t xml:space="preserve">Các phương án được đánh giá một cách </w:t>
      </w:r>
      <w:r w:rsidRPr="00996A77">
        <w:rPr>
          <w:rStyle w:val="Strong"/>
          <w:b w:val="0"/>
          <w:bCs w:val="0"/>
        </w:rPr>
        <w:t>khách quan, độc lập</w:t>
      </w:r>
      <w:r>
        <w:t xml:space="preserve"> bởi từng thành viên Hội đồng;</w:t>
      </w:r>
    </w:p>
    <w:p w14:paraId="0E37963C" w14:textId="68771983" w:rsidR="004C5B4F" w:rsidRPr="004C5B4F" w:rsidRDefault="00996A77" w:rsidP="009464DE">
      <w:pPr>
        <w:pStyle w:val="5"/>
      </w:pPr>
      <w:r>
        <w:t>Kết quả chấm điểm là cơ sở để xếp hạng phương án và trình Chủ đầu tư xem xét, quyết định lựa chọn.</w:t>
      </w:r>
    </w:p>
    <w:p w14:paraId="058B3E56" w14:textId="4A61B98C" w:rsidR="004C5B4F" w:rsidRDefault="004C5B4F" w:rsidP="009464DE">
      <w:pPr>
        <w:pStyle w:val="4"/>
      </w:pPr>
      <w:r w:rsidRPr="004C5B4F">
        <w:t>Cơ cấu điểm</w:t>
      </w:r>
    </w:p>
    <w:p w14:paraId="221802E2" w14:textId="18632D5F" w:rsidR="00435760" w:rsidRPr="004C5B4F" w:rsidRDefault="00435760" w:rsidP="00435760">
      <w:pPr>
        <w:pStyle w:val="51"/>
      </w:pPr>
      <w:r>
        <w:t>Các phương án dự thi được đánh giá theo các tiêu chí sau:</w:t>
      </w:r>
    </w:p>
    <w:tbl>
      <w:tblPr>
        <w:tblW w:w="8366" w:type="dxa"/>
        <w:tblCellSpacing w:w="1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1"/>
        <w:gridCol w:w="6570"/>
        <w:gridCol w:w="1165"/>
      </w:tblGrid>
      <w:tr w:rsidR="009D67B9" w:rsidRPr="004C5B4F" w14:paraId="77042A03" w14:textId="77777777" w:rsidTr="009464DE">
        <w:trPr>
          <w:trHeight w:val="230"/>
          <w:tblHeader/>
          <w:tblCellSpacing w:w="15" w:type="dxa"/>
        </w:trPr>
        <w:tc>
          <w:tcPr>
            <w:tcW w:w="0" w:type="auto"/>
            <w:vAlign w:val="center"/>
            <w:hideMark/>
          </w:tcPr>
          <w:p w14:paraId="49E3281B" w14:textId="77777777" w:rsidR="004C5B4F" w:rsidRPr="004C5B4F" w:rsidRDefault="004C5B4F" w:rsidP="009464DE">
            <w:pPr>
              <w:pStyle w:val="2"/>
              <w:jc w:val="center"/>
            </w:pPr>
            <w:r w:rsidRPr="004C5B4F">
              <w:t>STT</w:t>
            </w:r>
          </w:p>
        </w:tc>
        <w:tc>
          <w:tcPr>
            <w:tcW w:w="0" w:type="auto"/>
            <w:vAlign w:val="center"/>
            <w:hideMark/>
          </w:tcPr>
          <w:p w14:paraId="2A867CDC" w14:textId="77777777" w:rsidR="004C5B4F" w:rsidRPr="004C5B4F" w:rsidRDefault="004C5B4F" w:rsidP="009464DE">
            <w:pPr>
              <w:pStyle w:val="2"/>
              <w:jc w:val="center"/>
            </w:pPr>
            <w:r w:rsidRPr="004C5B4F">
              <w:t>Tiêu chí</w:t>
            </w:r>
          </w:p>
        </w:tc>
        <w:tc>
          <w:tcPr>
            <w:tcW w:w="0" w:type="auto"/>
            <w:vAlign w:val="center"/>
            <w:hideMark/>
          </w:tcPr>
          <w:p w14:paraId="0470D0BA" w14:textId="77777777" w:rsidR="004C5B4F" w:rsidRPr="004C5B4F" w:rsidRDefault="004C5B4F" w:rsidP="009464DE">
            <w:pPr>
              <w:pStyle w:val="2"/>
              <w:jc w:val="center"/>
            </w:pPr>
            <w:r w:rsidRPr="004C5B4F">
              <w:t>Trọng số</w:t>
            </w:r>
          </w:p>
        </w:tc>
      </w:tr>
      <w:tr w:rsidR="009D67B9" w:rsidRPr="004C5B4F" w14:paraId="53064692" w14:textId="77777777" w:rsidTr="009464DE">
        <w:trPr>
          <w:trHeight w:val="241"/>
          <w:tblCellSpacing w:w="15" w:type="dxa"/>
        </w:trPr>
        <w:tc>
          <w:tcPr>
            <w:tcW w:w="0" w:type="auto"/>
            <w:vAlign w:val="center"/>
            <w:hideMark/>
          </w:tcPr>
          <w:p w14:paraId="75CCA900" w14:textId="77777777" w:rsidR="004C5B4F" w:rsidRPr="004C5B4F" w:rsidRDefault="004C5B4F" w:rsidP="009464DE">
            <w:pPr>
              <w:pStyle w:val="2"/>
              <w:jc w:val="center"/>
            </w:pPr>
            <w:r w:rsidRPr="004C5B4F">
              <w:t>1</w:t>
            </w:r>
          </w:p>
        </w:tc>
        <w:tc>
          <w:tcPr>
            <w:tcW w:w="0" w:type="auto"/>
            <w:vAlign w:val="center"/>
            <w:hideMark/>
          </w:tcPr>
          <w:p w14:paraId="477C6534" w14:textId="77777777" w:rsidR="004C5B4F" w:rsidRPr="004C5B4F" w:rsidRDefault="004C5B4F" w:rsidP="009464DE">
            <w:pPr>
              <w:pStyle w:val="2"/>
            </w:pPr>
            <w:r w:rsidRPr="004C5B4F">
              <w:t>Ý tưởng kiến trúc và tính biểu tượng</w:t>
            </w:r>
          </w:p>
        </w:tc>
        <w:tc>
          <w:tcPr>
            <w:tcW w:w="0" w:type="auto"/>
            <w:vAlign w:val="center"/>
            <w:hideMark/>
          </w:tcPr>
          <w:p w14:paraId="0A434DA4" w14:textId="77777777" w:rsidR="004C5B4F" w:rsidRPr="004C5B4F" w:rsidRDefault="004C5B4F" w:rsidP="009464DE">
            <w:pPr>
              <w:pStyle w:val="2"/>
              <w:jc w:val="center"/>
            </w:pPr>
            <w:r w:rsidRPr="004C5B4F">
              <w:t>30%</w:t>
            </w:r>
          </w:p>
        </w:tc>
      </w:tr>
      <w:tr w:rsidR="009D67B9" w:rsidRPr="004C5B4F" w14:paraId="059D6D3C" w14:textId="77777777" w:rsidTr="009464DE">
        <w:trPr>
          <w:trHeight w:val="230"/>
          <w:tblCellSpacing w:w="15" w:type="dxa"/>
        </w:trPr>
        <w:tc>
          <w:tcPr>
            <w:tcW w:w="0" w:type="auto"/>
            <w:vAlign w:val="center"/>
            <w:hideMark/>
          </w:tcPr>
          <w:p w14:paraId="32CE3F82" w14:textId="77777777" w:rsidR="004C5B4F" w:rsidRPr="004C5B4F" w:rsidRDefault="004C5B4F" w:rsidP="009464DE">
            <w:pPr>
              <w:pStyle w:val="2"/>
              <w:jc w:val="center"/>
            </w:pPr>
            <w:r w:rsidRPr="004C5B4F">
              <w:t>2</w:t>
            </w:r>
          </w:p>
        </w:tc>
        <w:tc>
          <w:tcPr>
            <w:tcW w:w="0" w:type="auto"/>
            <w:vAlign w:val="center"/>
            <w:hideMark/>
          </w:tcPr>
          <w:p w14:paraId="2D672A5B" w14:textId="77777777" w:rsidR="004C5B4F" w:rsidRPr="004C5B4F" w:rsidRDefault="004C5B4F" w:rsidP="009464DE">
            <w:pPr>
              <w:pStyle w:val="2"/>
            </w:pPr>
            <w:r w:rsidRPr="004C5B4F">
              <w:t>Khả năng nhận diện thương hiệu KCN</w:t>
            </w:r>
          </w:p>
        </w:tc>
        <w:tc>
          <w:tcPr>
            <w:tcW w:w="0" w:type="auto"/>
            <w:vAlign w:val="center"/>
            <w:hideMark/>
          </w:tcPr>
          <w:p w14:paraId="69D0AD83" w14:textId="77777777" w:rsidR="004C5B4F" w:rsidRPr="004C5B4F" w:rsidRDefault="004C5B4F" w:rsidP="009464DE">
            <w:pPr>
              <w:pStyle w:val="2"/>
              <w:jc w:val="center"/>
            </w:pPr>
            <w:r w:rsidRPr="004C5B4F">
              <w:t>20%</w:t>
            </w:r>
          </w:p>
        </w:tc>
      </w:tr>
      <w:tr w:rsidR="009D67B9" w:rsidRPr="004C5B4F" w14:paraId="2974F5A4" w14:textId="77777777" w:rsidTr="009464DE">
        <w:trPr>
          <w:trHeight w:val="241"/>
          <w:tblCellSpacing w:w="15" w:type="dxa"/>
        </w:trPr>
        <w:tc>
          <w:tcPr>
            <w:tcW w:w="0" w:type="auto"/>
            <w:vAlign w:val="center"/>
            <w:hideMark/>
          </w:tcPr>
          <w:p w14:paraId="037446D4" w14:textId="77777777" w:rsidR="004C5B4F" w:rsidRPr="004C5B4F" w:rsidRDefault="004C5B4F" w:rsidP="009464DE">
            <w:pPr>
              <w:pStyle w:val="2"/>
              <w:jc w:val="center"/>
            </w:pPr>
            <w:r w:rsidRPr="004C5B4F">
              <w:t>3</w:t>
            </w:r>
          </w:p>
        </w:tc>
        <w:tc>
          <w:tcPr>
            <w:tcW w:w="0" w:type="auto"/>
            <w:vAlign w:val="center"/>
            <w:hideMark/>
          </w:tcPr>
          <w:p w14:paraId="1ECDF70E" w14:textId="48EC88D1" w:rsidR="004C5B4F" w:rsidRPr="004C5B4F" w:rsidRDefault="009D67B9" w:rsidP="009464DE">
            <w:pPr>
              <w:pStyle w:val="2"/>
            </w:pPr>
            <w:r>
              <w:t>Khả năng triển khai thi công trong thực tế</w:t>
            </w:r>
          </w:p>
        </w:tc>
        <w:tc>
          <w:tcPr>
            <w:tcW w:w="0" w:type="auto"/>
            <w:vAlign w:val="center"/>
            <w:hideMark/>
          </w:tcPr>
          <w:p w14:paraId="5E8B84DD" w14:textId="77777777" w:rsidR="004C5B4F" w:rsidRPr="004C5B4F" w:rsidRDefault="004C5B4F" w:rsidP="009464DE">
            <w:pPr>
              <w:pStyle w:val="2"/>
              <w:jc w:val="center"/>
            </w:pPr>
            <w:r w:rsidRPr="004C5B4F">
              <w:t>20%</w:t>
            </w:r>
          </w:p>
        </w:tc>
      </w:tr>
      <w:tr w:rsidR="009D67B9" w:rsidRPr="004C5B4F" w14:paraId="6194CCAF" w14:textId="77777777" w:rsidTr="009464DE">
        <w:trPr>
          <w:trHeight w:val="230"/>
          <w:tblCellSpacing w:w="15" w:type="dxa"/>
        </w:trPr>
        <w:tc>
          <w:tcPr>
            <w:tcW w:w="0" w:type="auto"/>
            <w:vAlign w:val="center"/>
            <w:hideMark/>
          </w:tcPr>
          <w:p w14:paraId="070068E0" w14:textId="77777777" w:rsidR="004C5B4F" w:rsidRPr="004C5B4F" w:rsidRDefault="004C5B4F" w:rsidP="009464DE">
            <w:pPr>
              <w:pStyle w:val="2"/>
              <w:jc w:val="center"/>
            </w:pPr>
            <w:r w:rsidRPr="004C5B4F">
              <w:t>4</w:t>
            </w:r>
          </w:p>
        </w:tc>
        <w:tc>
          <w:tcPr>
            <w:tcW w:w="0" w:type="auto"/>
            <w:vAlign w:val="center"/>
            <w:hideMark/>
          </w:tcPr>
          <w:p w14:paraId="35C41A1D" w14:textId="52E2D8B3" w:rsidR="004C5B4F" w:rsidRPr="004C5B4F" w:rsidRDefault="009D67B9" w:rsidP="009464DE">
            <w:pPr>
              <w:pStyle w:val="2"/>
            </w:pPr>
            <w:r>
              <w:t>Khả năng vận hành và bảo trì trong quá trình khai thác</w:t>
            </w:r>
          </w:p>
        </w:tc>
        <w:tc>
          <w:tcPr>
            <w:tcW w:w="0" w:type="auto"/>
            <w:vAlign w:val="center"/>
            <w:hideMark/>
          </w:tcPr>
          <w:p w14:paraId="3F2AA1FA" w14:textId="77777777" w:rsidR="004C5B4F" w:rsidRPr="004C5B4F" w:rsidRDefault="004C5B4F" w:rsidP="009464DE">
            <w:pPr>
              <w:pStyle w:val="2"/>
              <w:jc w:val="center"/>
            </w:pPr>
            <w:r w:rsidRPr="004C5B4F">
              <w:t>15%</w:t>
            </w:r>
          </w:p>
        </w:tc>
      </w:tr>
      <w:tr w:rsidR="009D67B9" w:rsidRPr="004C5B4F" w14:paraId="350444F3" w14:textId="77777777" w:rsidTr="009464DE">
        <w:trPr>
          <w:trHeight w:val="241"/>
          <w:tblCellSpacing w:w="15" w:type="dxa"/>
        </w:trPr>
        <w:tc>
          <w:tcPr>
            <w:tcW w:w="0" w:type="auto"/>
            <w:vAlign w:val="center"/>
            <w:hideMark/>
          </w:tcPr>
          <w:p w14:paraId="247D3FC0" w14:textId="77777777" w:rsidR="004C5B4F" w:rsidRPr="004C5B4F" w:rsidRDefault="004C5B4F" w:rsidP="009464DE">
            <w:pPr>
              <w:pStyle w:val="2"/>
              <w:jc w:val="center"/>
            </w:pPr>
            <w:r w:rsidRPr="004C5B4F">
              <w:t>5</w:t>
            </w:r>
          </w:p>
        </w:tc>
        <w:tc>
          <w:tcPr>
            <w:tcW w:w="0" w:type="auto"/>
            <w:vAlign w:val="center"/>
            <w:hideMark/>
          </w:tcPr>
          <w:p w14:paraId="74036AFC" w14:textId="44B46F30" w:rsidR="004C5B4F" w:rsidRPr="004C5B4F" w:rsidRDefault="004C5B4F" w:rsidP="009464DE">
            <w:pPr>
              <w:pStyle w:val="2"/>
            </w:pPr>
            <w:r w:rsidRPr="004C5B4F">
              <w:t>Chi phí đầ</w:t>
            </w:r>
            <w:r w:rsidR="00141579">
              <w:t>u tư</w:t>
            </w:r>
          </w:p>
        </w:tc>
        <w:tc>
          <w:tcPr>
            <w:tcW w:w="0" w:type="auto"/>
            <w:vAlign w:val="center"/>
            <w:hideMark/>
          </w:tcPr>
          <w:p w14:paraId="422C3544" w14:textId="77777777" w:rsidR="004C5B4F" w:rsidRPr="004C5B4F" w:rsidRDefault="004C5B4F" w:rsidP="009464DE">
            <w:pPr>
              <w:pStyle w:val="2"/>
              <w:jc w:val="center"/>
            </w:pPr>
            <w:r w:rsidRPr="004C5B4F">
              <w:t>15%</w:t>
            </w:r>
          </w:p>
        </w:tc>
      </w:tr>
    </w:tbl>
    <w:p w14:paraId="7FD5F08C" w14:textId="546AAE48" w:rsidR="004C5B4F" w:rsidRPr="004C5B4F" w:rsidRDefault="004C5B4F" w:rsidP="009464DE">
      <w:pPr>
        <w:pStyle w:val="4"/>
      </w:pPr>
      <w:r w:rsidRPr="004C5B4F">
        <w:t>Nguyên tắc chấm điểm</w:t>
      </w:r>
    </w:p>
    <w:p w14:paraId="5A137C12" w14:textId="63A02384" w:rsidR="00435760" w:rsidRDefault="00435760" w:rsidP="009464DE">
      <w:pPr>
        <w:pStyle w:val="5"/>
      </w:pPr>
      <w:r>
        <w:t xml:space="preserve">Mỗi thành viên Hội đồng chấm điểm </w:t>
      </w:r>
      <w:r w:rsidRPr="00435760">
        <w:rPr>
          <w:rStyle w:val="Strong"/>
          <w:b w:val="0"/>
          <w:bCs w:val="0"/>
        </w:rPr>
        <w:t>độc lập</w:t>
      </w:r>
      <w:r>
        <w:t xml:space="preserve"> theo từng tiêu chí, không trao đổi, thống nhất trước khi chấm</w:t>
      </w:r>
      <w:r w:rsidR="009D67B9">
        <w:t>.</w:t>
      </w:r>
    </w:p>
    <w:p w14:paraId="50085DE5" w14:textId="117F7A4A" w:rsidR="00435760" w:rsidRDefault="00435760" w:rsidP="009464DE">
      <w:pPr>
        <w:pStyle w:val="5"/>
      </w:pPr>
      <w:r>
        <w:t xml:space="preserve">Điểm của từng phương án là </w:t>
      </w:r>
      <w:r w:rsidRPr="00435760">
        <w:rPr>
          <w:rStyle w:val="Strong"/>
          <w:b w:val="0"/>
          <w:bCs w:val="0"/>
        </w:rPr>
        <w:t>giá trị trung bình cộng</w:t>
      </w:r>
      <w:r>
        <w:t xml:space="preserve"> của các thành viên Hội đồng</w:t>
      </w:r>
      <w:r w:rsidR="009D67B9">
        <w:t>.</w:t>
      </w:r>
    </w:p>
    <w:p w14:paraId="7117F949" w14:textId="62831B9C" w:rsidR="00435760" w:rsidRDefault="00435760" w:rsidP="009464DE">
      <w:pPr>
        <w:pStyle w:val="5"/>
      </w:pPr>
      <w:r>
        <w:t xml:space="preserve">Việc chấm điểm phải kèm theo </w:t>
      </w:r>
      <w:r w:rsidRPr="00435760">
        <w:rPr>
          <w:rStyle w:val="Strong"/>
          <w:b w:val="0"/>
          <w:bCs w:val="0"/>
        </w:rPr>
        <w:t>nhận xét đánh giá</w:t>
      </w:r>
      <w:r>
        <w:t xml:space="preserve"> làm cơ sở tổng hợp và báo cáo</w:t>
      </w:r>
      <w:r w:rsidR="009D67B9">
        <w:t>.</w:t>
      </w:r>
    </w:p>
    <w:p w14:paraId="541ED907" w14:textId="3E78D3F5" w:rsidR="00435760" w:rsidRDefault="00435760" w:rsidP="009464DE">
      <w:pPr>
        <w:pStyle w:val="5"/>
      </w:pPr>
      <w:r>
        <w:t>Trường hợp có chênh lệch lớn giữa các thành viên, Hội đồng có thể tổ chức thảo luận để làm rõ trước khi chốt kết quả.</w:t>
      </w:r>
    </w:p>
    <w:p w14:paraId="3C6845DB" w14:textId="5C3B5BB9" w:rsidR="00435760" w:rsidRDefault="00435760" w:rsidP="00435760">
      <w:pPr>
        <w:pStyle w:val="4"/>
      </w:pPr>
      <w:r>
        <w:t>Điều kiện loại trừ</w:t>
      </w:r>
    </w:p>
    <w:p w14:paraId="6C3A9F1F" w14:textId="4954FCA0" w:rsidR="00435760" w:rsidRDefault="00435760" w:rsidP="00435760">
      <w:pPr>
        <w:pStyle w:val="51"/>
      </w:pPr>
      <w:r>
        <w:t>Phương án dự thi có thể bị loại khỏi quá trình đánh giá trong các trường hợp sau:</w:t>
      </w:r>
    </w:p>
    <w:p w14:paraId="171545B8" w14:textId="595EC014" w:rsidR="00435760" w:rsidRPr="00435760" w:rsidRDefault="00435760" w:rsidP="00435760">
      <w:pPr>
        <w:pStyle w:val="5"/>
      </w:pPr>
      <w:r w:rsidRPr="00435760">
        <w:t xml:space="preserve">Không đáp ứng yêu cầu của Nhiệm vụ thiết kế; </w:t>
      </w:r>
    </w:p>
    <w:p w14:paraId="2620719F" w14:textId="62EFF208" w:rsidR="00435760" w:rsidRPr="00435760" w:rsidRDefault="00435760" w:rsidP="00435760">
      <w:pPr>
        <w:pStyle w:val="5"/>
      </w:pPr>
      <w:r w:rsidRPr="00435760">
        <w:t xml:space="preserve">Không đảm bảo tính khả thi về kỹ thuật hoặc không thể triển khai thi công; </w:t>
      </w:r>
    </w:p>
    <w:p w14:paraId="5C6C6608" w14:textId="02FDA63D" w:rsidR="00435760" w:rsidRPr="00435760" w:rsidRDefault="00435760" w:rsidP="00435760">
      <w:pPr>
        <w:pStyle w:val="5"/>
      </w:pPr>
      <w:r w:rsidRPr="00435760">
        <w:t>Hồ sơ không đầy đủ</w:t>
      </w:r>
      <w:r>
        <w:t>.</w:t>
      </w:r>
    </w:p>
    <w:p w14:paraId="0E009B6F" w14:textId="081D2D79" w:rsidR="004C5B4F" w:rsidRPr="004C5B4F" w:rsidRDefault="004C5B4F" w:rsidP="009464DE">
      <w:pPr>
        <w:pStyle w:val="3"/>
      </w:pPr>
      <w:r w:rsidRPr="004C5B4F">
        <w:t>HỘI ĐỒNG THI TUYỂN</w:t>
      </w:r>
    </w:p>
    <w:p w14:paraId="4857AAF2" w14:textId="4576E2D4" w:rsidR="004C5B4F" w:rsidRPr="004C5B4F" w:rsidRDefault="004C5B4F" w:rsidP="006A6ABC">
      <w:pPr>
        <w:pStyle w:val="4"/>
        <w:numPr>
          <w:ilvl w:val="0"/>
          <w:numId w:val="10"/>
        </w:numPr>
      </w:pPr>
      <w:r w:rsidRPr="004C5B4F">
        <w:t>Thành phần</w:t>
      </w:r>
      <w:r w:rsidR="00435760">
        <w:t xml:space="preserve"> Hội đồng</w:t>
      </w:r>
    </w:p>
    <w:p w14:paraId="24F999DD" w14:textId="33FF32D1" w:rsidR="00435760" w:rsidRPr="00435760" w:rsidRDefault="00435760" w:rsidP="00435760">
      <w:pPr>
        <w:pStyle w:val="5"/>
      </w:pPr>
      <w:r w:rsidRPr="00435760">
        <w:t xml:space="preserve">Hội đồng thi tuyển do Chủ đầu tư quyết định thành lập; </w:t>
      </w:r>
    </w:p>
    <w:p w14:paraId="4C3FDCA4" w14:textId="64ACF2C4" w:rsidR="004C5B4F" w:rsidRPr="004C5B4F" w:rsidRDefault="004C5B4F" w:rsidP="00DD5A09">
      <w:pPr>
        <w:pStyle w:val="4"/>
      </w:pPr>
      <w:r w:rsidRPr="004C5B4F">
        <w:t>N</w:t>
      </w:r>
      <w:r w:rsidR="009768C5">
        <w:t xml:space="preserve">guyên tắc hoạt động </w:t>
      </w:r>
      <w:r w:rsidR="005C6C39">
        <w:t>của Hội đồn</w:t>
      </w:r>
      <w:r w:rsidRPr="004C5B4F">
        <w:t>g</w:t>
      </w:r>
    </w:p>
    <w:p w14:paraId="34601CAB" w14:textId="77777777" w:rsidR="009768C5" w:rsidRDefault="009768C5" w:rsidP="00DD5A09">
      <w:pPr>
        <w:pStyle w:val="5"/>
      </w:pPr>
      <w:r>
        <w:t>Tổ chức đánh giá các phương án dự thi theo tiêu chí đã được phê duyệt;</w:t>
      </w:r>
      <w:r w:rsidRPr="004C5B4F">
        <w:t xml:space="preserve"> </w:t>
      </w:r>
    </w:p>
    <w:p w14:paraId="275156A7" w14:textId="77777777" w:rsidR="009768C5" w:rsidRDefault="009768C5" w:rsidP="00DD5A09">
      <w:pPr>
        <w:pStyle w:val="5"/>
      </w:pPr>
      <w:r>
        <w:t xml:space="preserve">Thực hiện chấm điểm độc lập, khách quan và chịu trách nhiệm về kết quả chấm; </w:t>
      </w:r>
    </w:p>
    <w:p w14:paraId="19FDFE4A" w14:textId="3BC5E457" w:rsidR="009768C5" w:rsidRPr="00971DCF" w:rsidRDefault="009768C5" w:rsidP="009768C5">
      <w:pPr>
        <w:pStyle w:val="5"/>
      </w:pPr>
      <w:r>
        <w:lastRenderedPageBreak/>
        <w:t xml:space="preserve">Tổng hợp kết quả, xếp hạng và đề xuất phương án lựa chọn trình Chủ đầu tư xem xét, quyết định. </w:t>
      </w:r>
    </w:p>
    <w:p w14:paraId="1DDA0B07" w14:textId="166BD1C9" w:rsidR="004C5B4F" w:rsidRPr="004C5B4F" w:rsidRDefault="004C5B4F" w:rsidP="00DD5A09">
      <w:pPr>
        <w:pStyle w:val="3"/>
      </w:pPr>
      <w:r w:rsidRPr="004C5B4F">
        <w:t>GIẢI THƯỞNG VÀ HỖ TRỢ</w:t>
      </w:r>
    </w:p>
    <w:p w14:paraId="50E5CC60" w14:textId="202A0F52" w:rsidR="004C5B4F" w:rsidRPr="004C5B4F" w:rsidRDefault="00D20CFC" w:rsidP="006A6ABC">
      <w:pPr>
        <w:pStyle w:val="4"/>
        <w:numPr>
          <w:ilvl w:val="0"/>
          <w:numId w:val="12"/>
        </w:numPr>
      </w:pPr>
      <w:r>
        <w:t>Cơ cấu g</w:t>
      </w:r>
      <w:r w:rsidR="004C5B4F" w:rsidRPr="004C5B4F">
        <w:t>iải thưởng</w:t>
      </w:r>
    </w:p>
    <w:p w14:paraId="27505338" w14:textId="73CBFE68" w:rsidR="00D20CFC" w:rsidRPr="00D20CFC" w:rsidRDefault="00D20CFC" w:rsidP="00D20CFC">
      <w:pPr>
        <w:pStyle w:val="5"/>
      </w:pPr>
      <w:r w:rsidRPr="00D20CFC">
        <w:t xml:space="preserve">Căn cứ kết quả chấm thi và xếp hạng của Hội đồng, Chủ đầu tư xem xét trao giải thưởng cho các phương án đạt yêu cầu, cụ thể như sau: </w:t>
      </w:r>
    </w:p>
    <w:p w14:paraId="4F95628F" w14:textId="14842895" w:rsidR="00D20CFC" w:rsidRPr="00D20CFC" w:rsidRDefault="00D20CFC" w:rsidP="00DB6B1C">
      <w:pPr>
        <w:pStyle w:val="6"/>
        <w:ind w:left="867" w:hanging="357"/>
      </w:pPr>
      <w:r w:rsidRPr="00D20CFC">
        <w:t xml:space="preserve">01 Giải nhất: </w:t>
      </w:r>
      <w:r w:rsidR="002053B6" w:rsidRPr="002053B6">
        <w:rPr>
          <w:b/>
          <w:bCs/>
        </w:rPr>
        <w:t>30.000.000</w:t>
      </w:r>
      <w:r w:rsidR="00042D44">
        <w:t xml:space="preserve"> </w:t>
      </w:r>
      <w:r w:rsidRPr="002053B6">
        <w:rPr>
          <w:b/>
          <w:bCs/>
        </w:rPr>
        <w:t>đồng</w:t>
      </w:r>
      <w:r w:rsidRPr="00D20CFC">
        <w:t xml:space="preserve">; </w:t>
      </w:r>
    </w:p>
    <w:p w14:paraId="30F2F246" w14:textId="1E113A88" w:rsidR="00D20CFC" w:rsidRPr="00D20CFC" w:rsidRDefault="00D20CFC" w:rsidP="00DB6B1C">
      <w:pPr>
        <w:pStyle w:val="6"/>
        <w:ind w:left="867" w:hanging="357"/>
      </w:pPr>
      <w:r w:rsidRPr="00D20CFC">
        <w:t>02 Giải khuyến khích: mỗi giải</w:t>
      </w:r>
      <w:r w:rsidR="002053B6">
        <w:t xml:space="preserve"> </w:t>
      </w:r>
      <w:r w:rsidR="002053B6" w:rsidRPr="002053B6">
        <w:rPr>
          <w:b/>
          <w:bCs/>
        </w:rPr>
        <w:t xml:space="preserve">10.000.000 </w:t>
      </w:r>
      <w:r w:rsidRPr="002053B6">
        <w:rPr>
          <w:b/>
          <w:bCs/>
        </w:rPr>
        <w:t>đồng</w:t>
      </w:r>
      <w:r w:rsidRPr="00D20CFC">
        <w:t xml:space="preserve">. </w:t>
      </w:r>
    </w:p>
    <w:p w14:paraId="2464D800" w14:textId="509FFAEC" w:rsidR="00883E54" w:rsidRDefault="00D20CFC" w:rsidP="00883E54">
      <w:pPr>
        <w:pStyle w:val="4"/>
      </w:pPr>
      <w:r>
        <w:t>Nguyên tắc chi trả</w:t>
      </w:r>
    </w:p>
    <w:p w14:paraId="7686B429" w14:textId="3F892B76" w:rsidR="00DE32BC" w:rsidRDefault="00DE32BC" w:rsidP="00883E54">
      <w:pPr>
        <w:pStyle w:val="5"/>
      </w:pPr>
      <w:r w:rsidRPr="00DE32BC">
        <w:t>Giá trị giải thưởng</w:t>
      </w:r>
      <w:r w:rsidR="00883E54">
        <w:t xml:space="preserve"> </w:t>
      </w:r>
      <w:r w:rsidRPr="00DE32BC">
        <w:t xml:space="preserve">nêu trên </w:t>
      </w:r>
      <w:r w:rsidR="00D2662C">
        <w:t>đã bao gồm toàn bộ các chi phí cần thiết để thực hiện việc thiết kế, gửi sản phẩm hoàn thiện cho Chủ đầu tư và đã bao gồm các loại thuế phí cần nộp theo quy định của Pháp luật</w:t>
      </w:r>
      <w:r w:rsidRPr="00DE32BC">
        <w:t>; đơn vị, cá nhân nhận giải thưởng có trách nhiệm tự kê khai và thực hiện đầy đủ nghĩa vụ thuế theo quy định của pháp luật</w:t>
      </w:r>
      <w:r w:rsidR="009A6D38">
        <w:t>.</w:t>
      </w:r>
    </w:p>
    <w:p w14:paraId="02FBD614" w14:textId="1AFB177A" w:rsidR="00883E54" w:rsidRPr="00DE32BC" w:rsidRDefault="00883E54" w:rsidP="00883E54">
      <w:pPr>
        <w:pStyle w:val="5"/>
      </w:pPr>
      <w:r>
        <w:t xml:space="preserve">Các khoản giải thưởng được </w:t>
      </w:r>
      <w:r w:rsidRPr="00883E54">
        <w:rPr>
          <w:rStyle w:val="Strong"/>
          <w:b w:val="0"/>
          <w:bCs w:val="0"/>
        </w:rPr>
        <w:t>chi trả một lần bằng hình thức chuyển khoản</w:t>
      </w:r>
      <w:r>
        <w:t xml:space="preserve"> theo thông tin do đơn vị, cá nhân cung cấp</w:t>
      </w:r>
      <w:r w:rsidR="009A6D38">
        <w:t xml:space="preserve"> trong phiếu đăng ký tham gia cuộc thi.</w:t>
      </w:r>
    </w:p>
    <w:p w14:paraId="6261F069" w14:textId="77777777" w:rsidR="00883E54" w:rsidRPr="00883E54" w:rsidRDefault="00DE32BC" w:rsidP="00883E54">
      <w:pPr>
        <w:pStyle w:val="5"/>
      </w:pPr>
      <w:r w:rsidRPr="00883E54">
        <w:t>Việc trao giải không đồng nghĩa với việc mặc nhiên ký kết hợp đồng thiết kế, trừ khi có thỏa thuận riêng giữa Chủ đầu tư và đơn vị đạt giải.</w:t>
      </w:r>
    </w:p>
    <w:p w14:paraId="5828FA8A" w14:textId="31A64510" w:rsidR="004C5B4F" w:rsidRPr="004C5B4F" w:rsidRDefault="004C5B4F" w:rsidP="00DD5A09">
      <w:pPr>
        <w:pStyle w:val="3"/>
      </w:pPr>
      <w:r w:rsidRPr="004C5B4F">
        <w:t>BẢN QUYỀN VÀ QUYỀN SỬ DỤNG</w:t>
      </w:r>
    </w:p>
    <w:p w14:paraId="4DF3DE0E" w14:textId="77777777" w:rsidR="00D20CFC" w:rsidRDefault="00D20CFC" w:rsidP="006A6ABC">
      <w:pPr>
        <w:pStyle w:val="4"/>
        <w:numPr>
          <w:ilvl w:val="0"/>
          <w:numId w:val="13"/>
        </w:numPr>
      </w:pPr>
      <w:r>
        <w:t>Quyền sở hữu và quyền tác giả</w:t>
      </w:r>
    </w:p>
    <w:p w14:paraId="23BCB42E" w14:textId="36958CB3" w:rsidR="00143188" w:rsidRDefault="00143188" w:rsidP="00143188">
      <w:pPr>
        <w:pStyle w:val="5"/>
      </w:pPr>
      <w:r>
        <w:t>Đơn vị</w:t>
      </w:r>
      <w:r w:rsidR="00D829B4">
        <w:t>, cá nhân</w:t>
      </w:r>
      <w:r>
        <w:t xml:space="preserve"> tham gia thi tuyển chịu trách nhiệm về tính hợp pháp của hồ sơ dự thi, bao gồm quyền sở hữu trí tuệ và quyền tác giả đối với phương án thiết kế; </w:t>
      </w:r>
    </w:p>
    <w:p w14:paraId="19590734" w14:textId="590B230B" w:rsidR="00143188" w:rsidRDefault="00143188" w:rsidP="00143188">
      <w:pPr>
        <w:pStyle w:val="5"/>
      </w:pPr>
      <w:r>
        <w:t>Cam kết phương án dự thi là sản phẩm hợp pháp, không sao chép, không vi phạm bản quyền của bất kỳ tổ chức, cá nhân nào</w:t>
      </w:r>
      <w:r w:rsidR="0026768B">
        <w:t xml:space="preserve"> khác</w:t>
      </w:r>
      <w:r>
        <w:t xml:space="preserve">; </w:t>
      </w:r>
    </w:p>
    <w:p w14:paraId="6444FFA3" w14:textId="5440E8B5" w:rsidR="00143188" w:rsidRDefault="00143188" w:rsidP="00143188">
      <w:pPr>
        <w:pStyle w:val="5"/>
      </w:pPr>
      <w:r>
        <w:t>Trường hợp phát sinh tranh chấp liên quan đến bản quyền, đơn vị</w:t>
      </w:r>
      <w:r w:rsidR="00D829B4">
        <w:t>, cá nhân</w:t>
      </w:r>
      <w:r>
        <w:t xml:space="preserve"> dự thi chịu </w:t>
      </w:r>
      <w:r w:rsidR="00A67843">
        <w:t xml:space="preserve">hoàn toàn </w:t>
      </w:r>
      <w:r>
        <w:t>trách nhiệm và bồi thường</w:t>
      </w:r>
      <w:r w:rsidR="00A67843">
        <w:t xml:space="preserve"> toàn bộ</w:t>
      </w:r>
      <w:r>
        <w:t xml:space="preserve"> thiệt hại</w:t>
      </w:r>
      <w:r w:rsidR="0005767F">
        <w:t xml:space="preserve"> cho các bên liên quan</w:t>
      </w:r>
      <w:r>
        <w:t xml:space="preserve"> (nếu có). </w:t>
      </w:r>
    </w:p>
    <w:p w14:paraId="3C6FC53C" w14:textId="6C89A739" w:rsidR="00D20CFC" w:rsidRDefault="00D20CFC" w:rsidP="00D20CFC">
      <w:pPr>
        <w:pStyle w:val="4"/>
      </w:pPr>
      <w:r>
        <w:t>Quyền sử dụng của Chủ đầu tư</w:t>
      </w:r>
    </w:p>
    <w:p w14:paraId="063BDEDC" w14:textId="06C6D587" w:rsidR="00404A5A" w:rsidRPr="00404A5A" w:rsidRDefault="00404A5A" w:rsidP="007C14DF">
      <w:pPr>
        <w:pStyle w:val="5"/>
      </w:pPr>
      <w:r w:rsidRPr="00404A5A">
        <w:rPr>
          <w:sz w:val="24"/>
        </w:rPr>
        <w:t>C</w:t>
      </w:r>
      <w:r w:rsidRPr="00404A5A">
        <w:t xml:space="preserve">hủ đầu tư có quyền sử dụng phương án </w:t>
      </w:r>
      <w:r w:rsidR="0079765A">
        <w:t>đã trao giải</w:t>
      </w:r>
      <w:r w:rsidRPr="00404A5A">
        <w:t xml:space="preserve"> làm cơ sở triển khai các bước thiết kế tiếp theo; đồng thời có quyền chỉnh sửa, hoàn thiện phương án để phù hợp với yêu cầu thực tế của dự án; </w:t>
      </w:r>
    </w:p>
    <w:p w14:paraId="41E15033" w14:textId="51B4781A" w:rsidR="00404A5A" w:rsidRPr="00404A5A" w:rsidRDefault="00404A5A" w:rsidP="007C14DF">
      <w:pPr>
        <w:pStyle w:val="5"/>
      </w:pPr>
      <w:r w:rsidRPr="00404A5A">
        <w:t>Trường hợp không ký kết hợp đồng với đơn vị</w:t>
      </w:r>
      <w:r w:rsidR="00D829B4">
        <w:t>, cá nhân</w:t>
      </w:r>
      <w:r w:rsidRPr="00404A5A">
        <w:t xml:space="preserve"> đạt giải, Chủ đầu tư có quyền xem xét, lựa chọn phương án xếp hạng tiếp theo để triển khai; </w:t>
      </w:r>
    </w:p>
    <w:p w14:paraId="7BCE89CB" w14:textId="01C585B3" w:rsidR="00404A5A" w:rsidRPr="00404A5A" w:rsidRDefault="00404A5A" w:rsidP="007C14DF">
      <w:pPr>
        <w:pStyle w:val="5"/>
      </w:pPr>
      <w:r w:rsidRPr="00404A5A">
        <w:t xml:space="preserve">Đối với phương án đạt giải, sau khi thực hiện chi trả giải thưởng theo quy định, Chủ đầu tư được quyền sử dụng phương án phục vụ dự án; tác giả không được từ chối việc sử dụng này; </w:t>
      </w:r>
    </w:p>
    <w:p w14:paraId="3D8925B6" w14:textId="536F3BD3" w:rsidR="00404A5A" w:rsidRPr="00404A5A" w:rsidRDefault="00404A5A" w:rsidP="007C14DF">
      <w:pPr>
        <w:pStyle w:val="5"/>
      </w:pPr>
      <w:r w:rsidRPr="00404A5A">
        <w:t>Chủ đầu tư có quyền xem xét sử dụng bất kỳ phương án dự thi nào trong trường hợp cần thiết</w:t>
      </w:r>
      <w:r w:rsidR="002863E4">
        <w:t xml:space="preserve"> sau khi thanh toán cho tác giả số tiền bằng với giải nhất của cuộc thi</w:t>
      </w:r>
      <w:r w:rsidRPr="00404A5A">
        <w:t xml:space="preserve">; </w:t>
      </w:r>
    </w:p>
    <w:p w14:paraId="51787F6C" w14:textId="2982D01D" w:rsidR="00404A5A" w:rsidRPr="00404A5A" w:rsidRDefault="00404A5A" w:rsidP="007C14DF">
      <w:pPr>
        <w:pStyle w:val="5"/>
      </w:pPr>
      <w:r w:rsidRPr="00404A5A">
        <w:lastRenderedPageBreak/>
        <w:t xml:space="preserve">Chủ đầu tư không chịu </w:t>
      </w:r>
      <w:r w:rsidR="00623ADE">
        <w:t xml:space="preserve">bất kì </w:t>
      </w:r>
      <w:r w:rsidRPr="00404A5A">
        <w:t xml:space="preserve">trách nhiệm </w:t>
      </w:r>
      <w:r w:rsidR="00623ADE">
        <w:t xml:space="preserve">nào </w:t>
      </w:r>
      <w:r w:rsidRPr="00404A5A">
        <w:t>đối với các tranh chấp liên quan đến bản quyền phát sinh từ phía đơn vị, cá nhân dự thi;</w:t>
      </w:r>
    </w:p>
    <w:p w14:paraId="75A16C96" w14:textId="1530811B" w:rsidR="00404A5A" w:rsidRDefault="00404A5A" w:rsidP="007C14DF">
      <w:pPr>
        <w:pStyle w:val="5"/>
      </w:pPr>
      <w:r w:rsidRPr="007C14DF">
        <w:t>Chủ đầu tư được quyền sử dụng thông tin, hình ảnh các phương án dự thi phục vụ công tác báo cáo, công bố kết quả và truyền thông.</w:t>
      </w:r>
    </w:p>
    <w:p w14:paraId="2AE4B7DA" w14:textId="77777777" w:rsidR="001F3A4A" w:rsidRDefault="004C5B4F" w:rsidP="001F3A4A">
      <w:pPr>
        <w:pStyle w:val="3"/>
      </w:pPr>
      <w:r w:rsidRPr="004C5B4F">
        <w:t>ĐIỀU KHOẢN THỰC HIỆN</w:t>
      </w:r>
    </w:p>
    <w:p w14:paraId="4AAAA7E6" w14:textId="05486142" w:rsidR="007C14DF" w:rsidRPr="007C14DF" w:rsidRDefault="007C14DF" w:rsidP="007C14DF">
      <w:pPr>
        <w:pStyle w:val="5"/>
      </w:pPr>
      <w:r w:rsidRPr="007C14DF">
        <w:t xml:space="preserve">Chủ đầu tư là đơn vị tổ chức thi tuyển, chịu trách nhiệm tổ chức và quản lý toàn bộ quá trình thi tuyển theo Quy chế này; </w:t>
      </w:r>
    </w:p>
    <w:p w14:paraId="0FF7FB0C" w14:textId="181FA575" w:rsidR="007C14DF" w:rsidRPr="007C14DF" w:rsidRDefault="007C14DF" w:rsidP="007C14DF">
      <w:pPr>
        <w:pStyle w:val="5"/>
      </w:pPr>
      <w:r w:rsidRPr="007C14DF">
        <w:t xml:space="preserve">Các tổ chức, cá nhân tham gia thi tuyển có trách nhiệm tuân thủ đầy đủ các quy định tại Quy chế thi tuyển, Nhiệm vụ thiết kế và các yêu cầu của Chủ đầu tư; </w:t>
      </w:r>
    </w:p>
    <w:p w14:paraId="3766C2B1" w14:textId="34FC01A9" w:rsidR="007C14DF" w:rsidRPr="007C14DF" w:rsidRDefault="007C14DF" w:rsidP="007C14DF">
      <w:pPr>
        <w:pStyle w:val="5"/>
      </w:pPr>
      <w:r w:rsidRPr="007C14DF">
        <w:t xml:space="preserve">Việc nộp hồ sơ dự thi được xem là sự chấp thuận toàn bộ nội dung Quy chế thi tuyển; các tổ chức, cá nhân tham gia không được khiếu nại đối với các nội dung đã được quy định trong Quy chế; </w:t>
      </w:r>
    </w:p>
    <w:p w14:paraId="7C47D724" w14:textId="6FCCF365" w:rsidR="007C14DF" w:rsidRPr="007C14DF" w:rsidRDefault="007C14DF" w:rsidP="007C14DF">
      <w:pPr>
        <w:pStyle w:val="5"/>
      </w:pPr>
      <w:r w:rsidRPr="007C14DF">
        <w:t xml:space="preserve">Trong quá trình tổ chức thực hiện, trường hợp phát sinh các vấn đề chưa được quy định trong Quy chế này, Chủ đầu tư có quyền xem xét, quyết định và thông báo tới các </w:t>
      </w:r>
      <w:r w:rsidR="00623ADE">
        <w:t>bên</w:t>
      </w:r>
      <w:r w:rsidR="00A12DFE">
        <w:t xml:space="preserve"> tham gia</w:t>
      </w:r>
      <w:r w:rsidRPr="007C14DF">
        <w:t xml:space="preserve"> để thực hiện; </w:t>
      </w:r>
    </w:p>
    <w:p w14:paraId="04C0870E" w14:textId="4C971698" w:rsidR="00BC6CA0" w:rsidRDefault="007C14DF" w:rsidP="005520CB">
      <w:pPr>
        <w:pStyle w:val="5"/>
      </w:pPr>
      <w:r w:rsidRPr="007C14DF">
        <w:t>Quy chế này là cơ sở để tổ chức thi tuyển và lựa chọn phương án kiến trúc; các bên liên quan có trách nhiệm thực hiện nghiêm túc.</w:t>
      </w:r>
    </w:p>
    <w:p w14:paraId="6009D4EB" w14:textId="4D59287A" w:rsidR="004C5B4F" w:rsidRPr="004C5B4F" w:rsidRDefault="00B04F74" w:rsidP="00DD5A09">
      <w:pPr>
        <w:pStyle w:val="3"/>
      </w:pPr>
      <w:r>
        <w:t>YÊU CẦU THỜI GIAN THI TUYỂN</w:t>
      </w:r>
    </w:p>
    <w:p w14:paraId="7703FF7B" w14:textId="2B5FFD0D" w:rsidR="004C5B4F" w:rsidRPr="00F4090A" w:rsidRDefault="002053B6" w:rsidP="006030CA">
      <w:pPr>
        <w:pStyle w:val="5"/>
      </w:pPr>
      <w:r w:rsidRPr="00F4090A">
        <w:t>Thời gian tổ chức cuộc thi được quy định chi tiết trong Thư mời tham dự cuộc thi đăng tải trên website của Công ty và các kênh thông tin điện tử liên quan</w:t>
      </w:r>
      <w:r w:rsidR="00D861B9" w:rsidRPr="00F4090A">
        <w:t>.</w:t>
      </w:r>
    </w:p>
    <w:p w14:paraId="6F6CFC27" w14:textId="4CADAC25" w:rsidR="004C5B4F" w:rsidRPr="004C5B4F" w:rsidRDefault="004C5B4F" w:rsidP="00DD5A09">
      <w:pPr>
        <w:pStyle w:val="3"/>
      </w:pPr>
      <w:r w:rsidRPr="004C5B4F">
        <w:t>ĐIỀU KHOẢN CUỐI</w:t>
      </w:r>
    </w:p>
    <w:p w14:paraId="17B84D0E" w14:textId="269F0609" w:rsidR="00531C80" w:rsidRPr="00531C80" w:rsidRDefault="00531C80" w:rsidP="00531C80">
      <w:pPr>
        <w:pStyle w:val="5"/>
      </w:pPr>
      <w:r w:rsidRPr="00531C80">
        <w:t xml:space="preserve">Quy chế này có hiệu lực kể từ ngày được Chủ đầu tư phê duyệt; </w:t>
      </w:r>
    </w:p>
    <w:p w14:paraId="1470CB56" w14:textId="2715F383" w:rsidR="00531C80" w:rsidRPr="00531C80" w:rsidRDefault="00531C80" w:rsidP="00531C80">
      <w:pPr>
        <w:pStyle w:val="5"/>
      </w:pPr>
      <w:r w:rsidRPr="00531C80">
        <w:t xml:space="preserve">Quy chế là căn cứ để tổ chức thi tuyển và lựa chọn phương án kiến trúc công trình Biểu tượng Khu công nghiệp; </w:t>
      </w:r>
    </w:p>
    <w:p w14:paraId="46354D07" w14:textId="525DC85F" w:rsidR="00531C80" w:rsidRPr="00531C80" w:rsidRDefault="00531C80" w:rsidP="00531C80">
      <w:pPr>
        <w:pStyle w:val="5"/>
      </w:pPr>
      <w:r w:rsidRPr="00531C80">
        <w:t xml:space="preserve">Các đơn vị tham gia thi tuyển và các tổ chức, cá nhân liên quan có trách nhiệm thực hiện theo đúng nội dung Quy chế này; </w:t>
      </w:r>
    </w:p>
    <w:p w14:paraId="66D36B15" w14:textId="00BEEF23" w:rsidR="00402E50" w:rsidRDefault="00531C80" w:rsidP="00E4759D">
      <w:pPr>
        <w:pStyle w:val="5"/>
      </w:pPr>
      <w:r w:rsidRPr="00531C80">
        <w:t>Quy chế được ban hành kèm theo hồ sơ mời thi và là một phần không tách rời của hồ sơ thi tuyển.</w:t>
      </w:r>
    </w:p>
    <w:p w14:paraId="5FD0FF1B" w14:textId="34699B35" w:rsidR="004C5B4F" w:rsidRPr="004C5B4F" w:rsidRDefault="00531C80" w:rsidP="00531C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CÔNG TY CỔ PHẦN GREEN i – PARK</w:t>
      </w:r>
      <w:r w:rsidR="004C5B4F" w:rsidRPr="004C5B4F">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FD794DC" w14:textId="77777777" w:rsidR="00974608" w:rsidRDefault="00974608"/>
    <w:sectPr w:rsidR="00974608" w:rsidSect="00971DCF">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8ED4D" w14:textId="77777777" w:rsidR="003540C9" w:rsidRDefault="003540C9" w:rsidP="00785C73">
      <w:pPr>
        <w:spacing w:after="0" w:line="240" w:lineRule="auto"/>
      </w:pPr>
      <w:r>
        <w:separator/>
      </w:r>
    </w:p>
  </w:endnote>
  <w:endnote w:type="continuationSeparator" w:id="0">
    <w:p w14:paraId="0F0EFEC7" w14:textId="77777777" w:rsidR="003540C9" w:rsidRDefault="003540C9" w:rsidP="0078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76963"/>
      <w:docPartObj>
        <w:docPartGallery w:val="Page Numbers (Bottom of Page)"/>
        <w:docPartUnique/>
      </w:docPartObj>
    </w:sdtPr>
    <w:sdtEndPr>
      <w:rPr>
        <w:rFonts w:ascii="Times New Roman" w:hAnsi="Times New Roman" w:cs="Times New Roman"/>
        <w:noProof/>
        <w:sz w:val="24"/>
        <w:szCs w:val="24"/>
      </w:rPr>
    </w:sdtEndPr>
    <w:sdtContent>
      <w:p w14:paraId="661836BF" w14:textId="776F5609" w:rsidR="00F4090A" w:rsidRPr="00F4090A" w:rsidRDefault="00F4090A">
        <w:pPr>
          <w:pStyle w:val="Footer"/>
          <w:jc w:val="right"/>
          <w:rPr>
            <w:rFonts w:ascii="Times New Roman" w:hAnsi="Times New Roman" w:cs="Times New Roman"/>
            <w:sz w:val="24"/>
            <w:szCs w:val="24"/>
          </w:rPr>
        </w:pPr>
        <w:r w:rsidRPr="00F4090A">
          <w:rPr>
            <w:rFonts w:ascii="Times New Roman" w:hAnsi="Times New Roman" w:cs="Times New Roman"/>
            <w:sz w:val="24"/>
            <w:szCs w:val="24"/>
          </w:rPr>
          <w:fldChar w:fldCharType="begin"/>
        </w:r>
        <w:r w:rsidRPr="00F4090A">
          <w:rPr>
            <w:rFonts w:ascii="Times New Roman" w:hAnsi="Times New Roman" w:cs="Times New Roman"/>
            <w:sz w:val="24"/>
            <w:szCs w:val="24"/>
          </w:rPr>
          <w:instrText xml:space="preserve"> PAGE   \* MERGEFORMAT </w:instrText>
        </w:r>
        <w:r w:rsidRPr="00F4090A">
          <w:rPr>
            <w:rFonts w:ascii="Times New Roman" w:hAnsi="Times New Roman" w:cs="Times New Roman"/>
            <w:sz w:val="24"/>
            <w:szCs w:val="24"/>
          </w:rPr>
          <w:fldChar w:fldCharType="separate"/>
        </w:r>
        <w:r w:rsidRPr="00F4090A">
          <w:rPr>
            <w:rFonts w:ascii="Times New Roman" w:hAnsi="Times New Roman" w:cs="Times New Roman"/>
            <w:noProof/>
            <w:sz w:val="24"/>
            <w:szCs w:val="24"/>
          </w:rPr>
          <w:t>2</w:t>
        </w:r>
        <w:r w:rsidRPr="00F4090A">
          <w:rPr>
            <w:rFonts w:ascii="Times New Roman" w:hAnsi="Times New Roman" w:cs="Times New Roman"/>
            <w:noProof/>
            <w:sz w:val="24"/>
            <w:szCs w:val="24"/>
          </w:rPr>
          <w:fldChar w:fldCharType="end"/>
        </w:r>
      </w:p>
    </w:sdtContent>
  </w:sdt>
  <w:p w14:paraId="67722BD5" w14:textId="77777777" w:rsidR="00F4090A" w:rsidRDefault="00F4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B19AA" w14:textId="77777777" w:rsidR="003540C9" w:rsidRDefault="003540C9" w:rsidP="00785C73">
      <w:pPr>
        <w:spacing w:after="0" w:line="240" w:lineRule="auto"/>
      </w:pPr>
      <w:r>
        <w:separator/>
      </w:r>
    </w:p>
  </w:footnote>
  <w:footnote w:type="continuationSeparator" w:id="0">
    <w:p w14:paraId="55FFF0E5" w14:textId="77777777" w:rsidR="003540C9" w:rsidRDefault="003540C9" w:rsidP="00785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05076" w14:textId="28E5F6E2" w:rsidR="00F4090A" w:rsidRDefault="00F4090A">
    <w:pPr>
      <w:pStyle w:val="Header"/>
      <w:jc w:val="right"/>
    </w:pPr>
  </w:p>
  <w:p w14:paraId="68AA1CF9" w14:textId="77777777" w:rsidR="00F4090A" w:rsidRDefault="00F40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A5BD7"/>
    <w:multiLevelType w:val="hybridMultilevel"/>
    <w:tmpl w:val="371ECC6E"/>
    <w:lvl w:ilvl="0" w:tplc="E3E8C9AA">
      <w:start w:val="1"/>
      <w:numFmt w:val="decimal"/>
      <w:pStyle w:val="4"/>
      <w:lvlText w:val="%1."/>
      <w:lvlJc w:val="center"/>
      <w:pPr>
        <w:ind w:left="720" w:hanging="360"/>
      </w:pPr>
      <w:rPr>
        <w:rFonts w:ascii="Times New Roman Bold" w:hAnsi="Times New Roman Bold"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772D5"/>
    <w:multiLevelType w:val="hybridMultilevel"/>
    <w:tmpl w:val="559CBA3A"/>
    <w:lvl w:ilvl="0" w:tplc="51AA7B4A">
      <w:start w:val="1"/>
      <w:numFmt w:val="upperRoman"/>
      <w:pStyle w:val="3"/>
      <w:lvlText w:val="%1."/>
      <w:lvlJc w:val="center"/>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94485"/>
    <w:multiLevelType w:val="multilevel"/>
    <w:tmpl w:val="B33A42C2"/>
    <w:lvl w:ilvl="0">
      <w:start w:val="1"/>
      <w:numFmt w:val="bullet"/>
      <w:pStyle w:val="5"/>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60AFC"/>
    <w:multiLevelType w:val="hybridMultilevel"/>
    <w:tmpl w:val="433A6210"/>
    <w:lvl w:ilvl="0" w:tplc="DBBC535E">
      <w:start w:val="1"/>
      <w:numFmt w:val="bullet"/>
      <w:pStyle w:val="6"/>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F6D44EA"/>
    <w:multiLevelType w:val="multilevel"/>
    <w:tmpl w:val="2C16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A70A8"/>
    <w:multiLevelType w:val="hybridMultilevel"/>
    <w:tmpl w:val="FD90248E"/>
    <w:lvl w:ilvl="0" w:tplc="D43EE738">
      <w:start w:val="1"/>
      <w:numFmt w:val="lowerLetter"/>
      <w:pStyle w:val="41"/>
      <w:lvlText w:val="%1)"/>
      <w:lvlJc w:val="left"/>
      <w:pPr>
        <w:ind w:left="1440" w:hanging="360"/>
      </w:pPr>
      <w:rPr>
        <w:rFonts w:ascii="Times New Roman" w:hAnsi="Times New Roman"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 w:numId="5">
    <w:abstractNumId w:val="0"/>
    <w:lvlOverride w:ilvl="0">
      <w:startOverride w:val="1"/>
    </w:lvlOverride>
  </w:num>
  <w:num w:numId="6">
    <w:abstractNumId w:val="0"/>
    <w:lvlOverride w:ilvl="0">
      <w:startOverride w:val="1"/>
    </w:lvlOverride>
  </w:num>
  <w:num w:numId="7">
    <w:abstractNumId w:val="5"/>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3"/>
  </w:num>
  <w:num w:numId="15">
    <w:abstractNumId w:val="3"/>
  </w:num>
  <w:num w:numId="16">
    <w:abstractNumId w:val="2"/>
  </w:num>
  <w:num w:numId="17">
    <w:abstractNumId w:val="2"/>
  </w:num>
  <w:num w:numId="18">
    <w:abstractNumId w:val="2"/>
  </w:num>
  <w:num w:numId="19">
    <w:abstractNumId w:val="4"/>
  </w:num>
  <w:num w:numId="20">
    <w:abstractNumId w:val="2"/>
  </w:num>
  <w:num w:numId="21">
    <w:abstractNumId w:val="3"/>
  </w:num>
  <w:num w:numId="22">
    <w:abstractNumId w:val="3"/>
  </w:num>
  <w:num w:numId="23">
    <w:abstractNumId w:val="2"/>
  </w:num>
  <w:num w:numId="24">
    <w:abstractNumId w:val="2"/>
  </w:num>
  <w:num w:numId="25">
    <w:abstractNumId w:val="2"/>
  </w:num>
  <w:num w:numId="26">
    <w:abstractNumId w:val="3"/>
  </w:num>
  <w:num w:numId="27">
    <w:abstractNumId w:val="3"/>
  </w:num>
  <w:num w:numId="28">
    <w:abstractNumId w:val="0"/>
    <w:lvlOverride w:ilvl="0">
      <w:startOverride w:val="1"/>
    </w:lvlOverride>
  </w:num>
  <w:num w:numId="29">
    <w:abstractNumId w:val="0"/>
  </w:num>
  <w:num w:numId="30">
    <w:abstractNumId w:val="0"/>
    <w:lvlOverride w:ilvl="0">
      <w:startOverride w:val="1"/>
    </w:lvlOverride>
  </w:num>
  <w:num w:numId="31">
    <w:abstractNumId w:val="2"/>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4F"/>
    <w:rsid w:val="00003931"/>
    <w:rsid w:val="00027655"/>
    <w:rsid w:val="00035015"/>
    <w:rsid w:val="00042D44"/>
    <w:rsid w:val="0005767F"/>
    <w:rsid w:val="0008103B"/>
    <w:rsid w:val="00085123"/>
    <w:rsid w:val="000853D6"/>
    <w:rsid w:val="00091AD3"/>
    <w:rsid w:val="0009750C"/>
    <w:rsid w:val="000C1285"/>
    <w:rsid w:val="000E5091"/>
    <w:rsid w:val="00141579"/>
    <w:rsid w:val="00142371"/>
    <w:rsid w:val="00143188"/>
    <w:rsid w:val="001711AB"/>
    <w:rsid w:val="0017663A"/>
    <w:rsid w:val="001859FF"/>
    <w:rsid w:val="00190EA7"/>
    <w:rsid w:val="00193130"/>
    <w:rsid w:val="001C348C"/>
    <w:rsid w:val="001E6279"/>
    <w:rsid w:val="001F0ABE"/>
    <w:rsid w:val="001F3A4A"/>
    <w:rsid w:val="001F5DE6"/>
    <w:rsid w:val="002053B6"/>
    <w:rsid w:val="00244514"/>
    <w:rsid w:val="0026391C"/>
    <w:rsid w:val="0026768B"/>
    <w:rsid w:val="002863E4"/>
    <w:rsid w:val="0030680F"/>
    <w:rsid w:val="0033368D"/>
    <w:rsid w:val="003540C9"/>
    <w:rsid w:val="00374433"/>
    <w:rsid w:val="00374703"/>
    <w:rsid w:val="003B230E"/>
    <w:rsid w:val="00402222"/>
    <w:rsid w:val="00402CD7"/>
    <w:rsid w:val="00402E50"/>
    <w:rsid w:val="00404A5A"/>
    <w:rsid w:val="004149C4"/>
    <w:rsid w:val="00420AA2"/>
    <w:rsid w:val="00435760"/>
    <w:rsid w:val="004938D4"/>
    <w:rsid w:val="004C5B4F"/>
    <w:rsid w:val="004D27F0"/>
    <w:rsid w:val="00516F85"/>
    <w:rsid w:val="00531C80"/>
    <w:rsid w:val="005520CB"/>
    <w:rsid w:val="00574AF3"/>
    <w:rsid w:val="0059197B"/>
    <w:rsid w:val="005950BB"/>
    <w:rsid w:val="005B4F41"/>
    <w:rsid w:val="005B7735"/>
    <w:rsid w:val="005C0B9F"/>
    <w:rsid w:val="005C5065"/>
    <w:rsid w:val="005C6C39"/>
    <w:rsid w:val="005E5E3E"/>
    <w:rsid w:val="006030CA"/>
    <w:rsid w:val="0061757E"/>
    <w:rsid w:val="00623ADE"/>
    <w:rsid w:val="006A6ABC"/>
    <w:rsid w:val="00711079"/>
    <w:rsid w:val="00742B7C"/>
    <w:rsid w:val="007671E2"/>
    <w:rsid w:val="00772A20"/>
    <w:rsid w:val="00782922"/>
    <w:rsid w:val="00785C73"/>
    <w:rsid w:val="0079765A"/>
    <w:rsid w:val="007C14DF"/>
    <w:rsid w:val="007E6955"/>
    <w:rsid w:val="007E6D3B"/>
    <w:rsid w:val="00842E85"/>
    <w:rsid w:val="008630D3"/>
    <w:rsid w:val="00883E54"/>
    <w:rsid w:val="00897C86"/>
    <w:rsid w:val="0092132E"/>
    <w:rsid w:val="00926AB7"/>
    <w:rsid w:val="009464DE"/>
    <w:rsid w:val="00951695"/>
    <w:rsid w:val="00971DCF"/>
    <w:rsid w:val="00974608"/>
    <w:rsid w:val="009768C5"/>
    <w:rsid w:val="00996A77"/>
    <w:rsid w:val="009A6D38"/>
    <w:rsid w:val="009D67B9"/>
    <w:rsid w:val="009F4B96"/>
    <w:rsid w:val="00A12DFE"/>
    <w:rsid w:val="00A153C9"/>
    <w:rsid w:val="00A51523"/>
    <w:rsid w:val="00A609B3"/>
    <w:rsid w:val="00A63987"/>
    <w:rsid w:val="00A66AC8"/>
    <w:rsid w:val="00A67843"/>
    <w:rsid w:val="00A7508A"/>
    <w:rsid w:val="00A8332A"/>
    <w:rsid w:val="00AC6A87"/>
    <w:rsid w:val="00AE1102"/>
    <w:rsid w:val="00B04F74"/>
    <w:rsid w:val="00B23622"/>
    <w:rsid w:val="00B27A4D"/>
    <w:rsid w:val="00B30E91"/>
    <w:rsid w:val="00B50030"/>
    <w:rsid w:val="00B61EEC"/>
    <w:rsid w:val="00B81193"/>
    <w:rsid w:val="00BB3C4E"/>
    <w:rsid w:val="00BC6CA0"/>
    <w:rsid w:val="00BD64FE"/>
    <w:rsid w:val="00BD674E"/>
    <w:rsid w:val="00BE5EFC"/>
    <w:rsid w:val="00C06A16"/>
    <w:rsid w:val="00C524E5"/>
    <w:rsid w:val="00C622D2"/>
    <w:rsid w:val="00CC7355"/>
    <w:rsid w:val="00CF34A5"/>
    <w:rsid w:val="00D20CFC"/>
    <w:rsid w:val="00D2662C"/>
    <w:rsid w:val="00D40EC8"/>
    <w:rsid w:val="00D44F6B"/>
    <w:rsid w:val="00D75F8A"/>
    <w:rsid w:val="00D829B4"/>
    <w:rsid w:val="00D861B9"/>
    <w:rsid w:val="00DB6B1C"/>
    <w:rsid w:val="00DD5A09"/>
    <w:rsid w:val="00DE32BC"/>
    <w:rsid w:val="00E14E72"/>
    <w:rsid w:val="00E4759D"/>
    <w:rsid w:val="00E57F43"/>
    <w:rsid w:val="00E867A0"/>
    <w:rsid w:val="00E97D9F"/>
    <w:rsid w:val="00EB2C88"/>
    <w:rsid w:val="00EC6CAC"/>
    <w:rsid w:val="00F4090A"/>
    <w:rsid w:val="00F53510"/>
    <w:rsid w:val="00F56D13"/>
    <w:rsid w:val="00F8461F"/>
    <w:rsid w:val="00FA086C"/>
    <w:rsid w:val="00FB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A2E0"/>
  <w15:chartTrackingRefBased/>
  <w15:docId w15:val="{1C6F152B-4C7F-4ED0-846A-750AC77D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5B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5B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5B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5B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5B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5B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5B4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C5B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5B4F"/>
    <w:rPr>
      <w:b/>
      <w:bCs/>
    </w:rPr>
  </w:style>
  <w:style w:type="paragraph" w:customStyle="1" w:styleId="1">
    <w:name w:val="1"/>
    <w:basedOn w:val="Normal"/>
    <w:qFormat/>
    <w:rsid w:val="00971D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customStyle="1" w:styleId="2">
    <w:name w:val="2"/>
    <w:basedOn w:val="Normal"/>
    <w:qFormat/>
    <w:rsid w:val="00971DCF"/>
    <w:pPr>
      <w:spacing w:before="100" w:beforeAutospacing="1" w:after="100" w:afterAutospacing="1" w:line="240" w:lineRule="auto"/>
    </w:pPr>
    <w:rPr>
      <w:rFonts w:ascii="Times New Roman" w:eastAsia="Times New Roman" w:hAnsi="Times New Roman" w:cs="Times New Roman"/>
      <w:bCs/>
      <w:sz w:val="26"/>
      <w:szCs w:val="24"/>
    </w:rPr>
  </w:style>
  <w:style w:type="paragraph" w:customStyle="1" w:styleId="3">
    <w:name w:val="3"/>
    <w:basedOn w:val="Normal"/>
    <w:qFormat/>
    <w:rsid w:val="001F5DE6"/>
    <w:pPr>
      <w:numPr>
        <w:numId w:val="2"/>
      </w:numPr>
      <w:spacing w:before="120" w:after="120" w:line="240" w:lineRule="auto"/>
      <w:outlineLvl w:val="1"/>
    </w:pPr>
    <w:rPr>
      <w:rFonts w:ascii="Times New Roman" w:eastAsia="Times New Roman" w:hAnsi="Times New Roman" w:cs="Times New Roman"/>
      <w:b/>
      <w:bCs/>
      <w:sz w:val="26"/>
      <w:szCs w:val="36"/>
    </w:rPr>
  </w:style>
  <w:style w:type="paragraph" w:customStyle="1" w:styleId="4">
    <w:name w:val="4"/>
    <w:basedOn w:val="Normal"/>
    <w:qFormat/>
    <w:rsid w:val="00E14E72"/>
    <w:pPr>
      <w:numPr>
        <w:numId w:val="3"/>
      </w:numPr>
      <w:spacing w:before="120" w:after="120" w:line="240" w:lineRule="auto"/>
      <w:outlineLvl w:val="2"/>
    </w:pPr>
    <w:rPr>
      <w:rFonts w:ascii="Times New Roman" w:eastAsia="Times New Roman" w:hAnsi="Times New Roman" w:cs="Times New Roman"/>
      <w:b/>
      <w:bCs/>
      <w:sz w:val="26"/>
      <w:szCs w:val="27"/>
    </w:rPr>
  </w:style>
  <w:style w:type="paragraph" w:customStyle="1" w:styleId="5">
    <w:name w:val="5"/>
    <w:basedOn w:val="Normal"/>
    <w:qFormat/>
    <w:rsid w:val="0026391C"/>
    <w:pPr>
      <w:numPr>
        <w:numId w:val="1"/>
      </w:numPr>
      <w:spacing w:before="60" w:after="60" w:line="240" w:lineRule="auto"/>
      <w:jc w:val="both"/>
    </w:pPr>
    <w:rPr>
      <w:rFonts w:ascii="Times New Roman" w:eastAsia="Times New Roman" w:hAnsi="Times New Roman" w:cs="Times New Roman"/>
      <w:sz w:val="26"/>
      <w:szCs w:val="24"/>
    </w:rPr>
  </w:style>
  <w:style w:type="paragraph" w:customStyle="1" w:styleId="6">
    <w:name w:val="6"/>
    <w:basedOn w:val="Normal"/>
    <w:qFormat/>
    <w:rsid w:val="0026391C"/>
    <w:pPr>
      <w:numPr>
        <w:numId w:val="4"/>
      </w:numPr>
      <w:spacing w:before="120" w:after="120" w:line="240" w:lineRule="auto"/>
      <w:jc w:val="both"/>
    </w:pPr>
    <w:rPr>
      <w:rFonts w:ascii="Times New Roman" w:eastAsia="Times New Roman" w:hAnsi="Times New Roman" w:cs="Times New Roman"/>
      <w:sz w:val="26"/>
      <w:szCs w:val="24"/>
    </w:rPr>
  </w:style>
  <w:style w:type="paragraph" w:customStyle="1" w:styleId="41">
    <w:name w:val="4.1"/>
    <w:basedOn w:val="4"/>
    <w:qFormat/>
    <w:rsid w:val="00085123"/>
    <w:pPr>
      <w:numPr>
        <w:numId w:val="7"/>
      </w:numPr>
      <w:ind w:left="714" w:hanging="357"/>
    </w:pPr>
    <w:rPr>
      <w:b w:val="0"/>
      <w:sz w:val="24"/>
      <w:szCs w:val="24"/>
    </w:rPr>
  </w:style>
  <w:style w:type="paragraph" w:customStyle="1" w:styleId="51">
    <w:name w:val="5.1"/>
    <w:basedOn w:val="5"/>
    <w:qFormat/>
    <w:rsid w:val="0026391C"/>
    <w:pPr>
      <w:numPr>
        <w:numId w:val="0"/>
      </w:numPr>
      <w:ind w:left="357" w:firstLine="357"/>
    </w:pPr>
  </w:style>
  <w:style w:type="paragraph" w:styleId="Header">
    <w:name w:val="header"/>
    <w:basedOn w:val="Normal"/>
    <w:link w:val="HeaderChar"/>
    <w:uiPriority w:val="99"/>
    <w:unhideWhenUsed/>
    <w:rsid w:val="00785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C73"/>
  </w:style>
  <w:style w:type="paragraph" w:styleId="Footer">
    <w:name w:val="footer"/>
    <w:basedOn w:val="Normal"/>
    <w:link w:val="FooterChar"/>
    <w:uiPriority w:val="99"/>
    <w:unhideWhenUsed/>
    <w:rsid w:val="00785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C73"/>
  </w:style>
  <w:style w:type="character" w:styleId="Hyperlink">
    <w:name w:val="Hyperlink"/>
    <w:basedOn w:val="DefaultParagraphFont"/>
    <w:uiPriority w:val="99"/>
    <w:unhideWhenUsed/>
    <w:rsid w:val="00B23622"/>
    <w:rPr>
      <w:color w:val="0563C1" w:themeColor="hyperlink"/>
      <w:u w:val="single"/>
    </w:rPr>
  </w:style>
  <w:style w:type="character" w:styleId="UnresolvedMention">
    <w:name w:val="Unresolved Mention"/>
    <w:basedOn w:val="DefaultParagraphFont"/>
    <w:uiPriority w:val="99"/>
    <w:semiHidden/>
    <w:unhideWhenUsed/>
    <w:rsid w:val="00B23622"/>
    <w:rPr>
      <w:color w:val="605E5C"/>
      <w:shd w:val="clear" w:color="auto" w:fill="E1DFDD"/>
    </w:rPr>
  </w:style>
  <w:style w:type="character" w:styleId="CommentReference">
    <w:name w:val="annotation reference"/>
    <w:basedOn w:val="DefaultParagraphFont"/>
    <w:uiPriority w:val="99"/>
    <w:semiHidden/>
    <w:unhideWhenUsed/>
    <w:rsid w:val="000853D6"/>
    <w:rPr>
      <w:sz w:val="16"/>
      <w:szCs w:val="16"/>
    </w:rPr>
  </w:style>
  <w:style w:type="paragraph" w:styleId="CommentText">
    <w:name w:val="annotation text"/>
    <w:basedOn w:val="Normal"/>
    <w:link w:val="CommentTextChar"/>
    <w:uiPriority w:val="99"/>
    <w:unhideWhenUsed/>
    <w:rsid w:val="000853D6"/>
    <w:pPr>
      <w:spacing w:line="240" w:lineRule="auto"/>
    </w:pPr>
    <w:rPr>
      <w:sz w:val="20"/>
      <w:szCs w:val="20"/>
    </w:rPr>
  </w:style>
  <w:style w:type="character" w:customStyle="1" w:styleId="CommentTextChar">
    <w:name w:val="Comment Text Char"/>
    <w:basedOn w:val="DefaultParagraphFont"/>
    <w:link w:val="CommentText"/>
    <w:uiPriority w:val="99"/>
    <w:rsid w:val="000853D6"/>
    <w:rPr>
      <w:sz w:val="20"/>
      <w:szCs w:val="20"/>
    </w:rPr>
  </w:style>
  <w:style w:type="paragraph" w:styleId="CommentSubject">
    <w:name w:val="annotation subject"/>
    <w:basedOn w:val="CommentText"/>
    <w:next w:val="CommentText"/>
    <w:link w:val="CommentSubjectChar"/>
    <w:uiPriority w:val="99"/>
    <w:semiHidden/>
    <w:unhideWhenUsed/>
    <w:rsid w:val="000853D6"/>
    <w:rPr>
      <w:b/>
      <w:bCs/>
    </w:rPr>
  </w:style>
  <w:style w:type="character" w:customStyle="1" w:styleId="CommentSubjectChar">
    <w:name w:val="Comment Subject Char"/>
    <w:basedOn w:val="CommentTextChar"/>
    <w:link w:val="CommentSubject"/>
    <w:uiPriority w:val="99"/>
    <w:semiHidden/>
    <w:rsid w:val="000853D6"/>
    <w:rPr>
      <w:b/>
      <w:bCs/>
      <w:sz w:val="20"/>
      <w:szCs w:val="20"/>
    </w:rPr>
  </w:style>
  <w:style w:type="paragraph" w:styleId="BalloonText">
    <w:name w:val="Balloon Text"/>
    <w:basedOn w:val="Normal"/>
    <w:link w:val="BalloonTextChar"/>
    <w:uiPriority w:val="99"/>
    <w:semiHidden/>
    <w:unhideWhenUsed/>
    <w:rsid w:val="00003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5550">
      <w:bodyDiv w:val="1"/>
      <w:marLeft w:val="0"/>
      <w:marRight w:val="0"/>
      <w:marTop w:val="0"/>
      <w:marBottom w:val="0"/>
      <w:divBdr>
        <w:top w:val="none" w:sz="0" w:space="0" w:color="auto"/>
        <w:left w:val="none" w:sz="0" w:space="0" w:color="auto"/>
        <w:bottom w:val="none" w:sz="0" w:space="0" w:color="auto"/>
        <w:right w:val="none" w:sz="0" w:space="0" w:color="auto"/>
      </w:divBdr>
    </w:div>
    <w:div w:id="35931021">
      <w:bodyDiv w:val="1"/>
      <w:marLeft w:val="0"/>
      <w:marRight w:val="0"/>
      <w:marTop w:val="0"/>
      <w:marBottom w:val="0"/>
      <w:divBdr>
        <w:top w:val="none" w:sz="0" w:space="0" w:color="auto"/>
        <w:left w:val="none" w:sz="0" w:space="0" w:color="auto"/>
        <w:bottom w:val="none" w:sz="0" w:space="0" w:color="auto"/>
        <w:right w:val="none" w:sz="0" w:space="0" w:color="auto"/>
      </w:divBdr>
    </w:div>
    <w:div w:id="110394646">
      <w:bodyDiv w:val="1"/>
      <w:marLeft w:val="0"/>
      <w:marRight w:val="0"/>
      <w:marTop w:val="0"/>
      <w:marBottom w:val="0"/>
      <w:divBdr>
        <w:top w:val="none" w:sz="0" w:space="0" w:color="auto"/>
        <w:left w:val="none" w:sz="0" w:space="0" w:color="auto"/>
        <w:bottom w:val="none" w:sz="0" w:space="0" w:color="auto"/>
        <w:right w:val="none" w:sz="0" w:space="0" w:color="auto"/>
      </w:divBdr>
    </w:div>
    <w:div w:id="117336751">
      <w:bodyDiv w:val="1"/>
      <w:marLeft w:val="0"/>
      <w:marRight w:val="0"/>
      <w:marTop w:val="0"/>
      <w:marBottom w:val="0"/>
      <w:divBdr>
        <w:top w:val="none" w:sz="0" w:space="0" w:color="auto"/>
        <w:left w:val="none" w:sz="0" w:space="0" w:color="auto"/>
        <w:bottom w:val="none" w:sz="0" w:space="0" w:color="auto"/>
        <w:right w:val="none" w:sz="0" w:space="0" w:color="auto"/>
      </w:divBdr>
    </w:div>
    <w:div w:id="132646446">
      <w:bodyDiv w:val="1"/>
      <w:marLeft w:val="0"/>
      <w:marRight w:val="0"/>
      <w:marTop w:val="0"/>
      <w:marBottom w:val="0"/>
      <w:divBdr>
        <w:top w:val="none" w:sz="0" w:space="0" w:color="auto"/>
        <w:left w:val="none" w:sz="0" w:space="0" w:color="auto"/>
        <w:bottom w:val="none" w:sz="0" w:space="0" w:color="auto"/>
        <w:right w:val="none" w:sz="0" w:space="0" w:color="auto"/>
      </w:divBdr>
    </w:div>
    <w:div w:id="178203611">
      <w:bodyDiv w:val="1"/>
      <w:marLeft w:val="0"/>
      <w:marRight w:val="0"/>
      <w:marTop w:val="0"/>
      <w:marBottom w:val="0"/>
      <w:divBdr>
        <w:top w:val="none" w:sz="0" w:space="0" w:color="auto"/>
        <w:left w:val="none" w:sz="0" w:space="0" w:color="auto"/>
        <w:bottom w:val="none" w:sz="0" w:space="0" w:color="auto"/>
        <w:right w:val="none" w:sz="0" w:space="0" w:color="auto"/>
      </w:divBdr>
    </w:div>
    <w:div w:id="230316452">
      <w:bodyDiv w:val="1"/>
      <w:marLeft w:val="0"/>
      <w:marRight w:val="0"/>
      <w:marTop w:val="0"/>
      <w:marBottom w:val="0"/>
      <w:divBdr>
        <w:top w:val="none" w:sz="0" w:space="0" w:color="auto"/>
        <w:left w:val="none" w:sz="0" w:space="0" w:color="auto"/>
        <w:bottom w:val="none" w:sz="0" w:space="0" w:color="auto"/>
        <w:right w:val="none" w:sz="0" w:space="0" w:color="auto"/>
      </w:divBdr>
    </w:div>
    <w:div w:id="314259140">
      <w:bodyDiv w:val="1"/>
      <w:marLeft w:val="0"/>
      <w:marRight w:val="0"/>
      <w:marTop w:val="0"/>
      <w:marBottom w:val="0"/>
      <w:divBdr>
        <w:top w:val="none" w:sz="0" w:space="0" w:color="auto"/>
        <w:left w:val="none" w:sz="0" w:space="0" w:color="auto"/>
        <w:bottom w:val="none" w:sz="0" w:space="0" w:color="auto"/>
        <w:right w:val="none" w:sz="0" w:space="0" w:color="auto"/>
      </w:divBdr>
    </w:div>
    <w:div w:id="338625349">
      <w:bodyDiv w:val="1"/>
      <w:marLeft w:val="0"/>
      <w:marRight w:val="0"/>
      <w:marTop w:val="0"/>
      <w:marBottom w:val="0"/>
      <w:divBdr>
        <w:top w:val="none" w:sz="0" w:space="0" w:color="auto"/>
        <w:left w:val="none" w:sz="0" w:space="0" w:color="auto"/>
        <w:bottom w:val="none" w:sz="0" w:space="0" w:color="auto"/>
        <w:right w:val="none" w:sz="0" w:space="0" w:color="auto"/>
      </w:divBdr>
    </w:div>
    <w:div w:id="368116737">
      <w:bodyDiv w:val="1"/>
      <w:marLeft w:val="0"/>
      <w:marRight w:val="0"/>
      <w:marTop w:val="0"/>
      <w:marBottom w:val="0"/>
      <w:divBdr>
        <w:top w:val="none" w:sz="0" w:space="0" w:color="auto"/>
        <w:left w:val="none" w:sz="0" w:space="0" w:color="auto"/>
        <w:bottom w:val="none" w:sz="0" w:space="0" w:color="auto"/>
        <w:right w:val="none" w:sz="0" w:space="0" w:color="auto"/>
      </w:divBdr>
    </w:div>
    <w:div w:id="369261313">
      <w:bodyDiv w:val="1"/>
      <w:marLeft w:val="0"/>
      <w:marRight w:val="0"/>
      <w:marTop w:val="0"/>
      <w:marBottom w:val="0"/>
      <w:divBdr>
        <w:top w:val="none" w:sz="0" w:space="0" w:color="auto"/>
        <w:left w:val="none" w:sz="0" w:space="0" w:color="auto"/>
        <w:bottom w:val="none" w:sz="0" w:space="0" w:color="auto"/>
        <w:right w:val="none" w:sz="0" w:space="0" w:color="auto"/>
      </w:divBdr>
    </w:div>
    <w:div w:id="393283969">
      <w:bodyDiv w:val="1"/>
      <w:marLeft w:val="0"/>
      <w:marRight w:val="0"/>
      <w:marTop w:val="0"/>
      <w:marBottom w:val="0"/>
      <w:divBdr>
        <w:top w:val="none" w:sz="0" w:space="0" w:color="auto"/>
        <w:left w:val="none" w:sz="0" w:space="0" w:color="auto"/>
        <w:bottom w:val="none" w:sz="0" w:space="0" w:color="auto"/>
        <w:right w:val="none" w:sz="0" w:space="0" w:color="auto"/>
      </w:divBdr>
    </w:div>
    <w:div w:id="408314466">
      <w:bodyDiv w:val="1"/>
      <w:marLeft w:val="0"/>
      <w:marRight w:val="0"/>
      <w:marTop w:val="0"/>
      <w:marBottom w:val="0"/>
      <w:divBdr>
        <w:top w:val="none" w:sz="0" w:space="0" w:color="auto"/>
        <w:left w:val="none" w:sz="0" w:space="0" w:color="auto"/>
        <w:bottom w:val="none" w:sz="0" w:space="0" w:color="auto"/>
        <w:right w:val="none" w:sz="0" w:space="0" w:color="auto"/>
      </w:divBdr>
    </w:div>
    <w:div w:id="465241244">
      <w:bodyDiv w:val="1"/>
      <w:marLeft w:val="0"/>
      <w:marRight w:val="0"/>
      <w:marTop w:val="0"/>
      <w:marBottom w:val="0"/>
      <w:divBdr>
        <w:top w:val="none" w:sz="0" w:space="0" w:color="auto"/>
        <w:left w:val="none" w:sz="0" w:space="0" w:color="auto"/>
        <w:bottom w:val="none" w:sz="0" w:space="0" w:color="auto"/>
        <w:right w:val="none" w:sz="0" w:space="0" w:color="auto"/>
      </w:divBdr>
    </w:div>
    <w:div w:id="527568578">
      <w:bodyDiv w:val="1"/>
      <w:marLeft w:val="0"/>
      <w:marRight w:val="0"/>
      <w:marTop w:val="0"/>
      <w:marBottom w:val="0"/>
      <w:divBdr>
        <w:top w:val="none" w:sz="0" w:space="0" w:color="auto"/>
        <w:left w:val="none" w:sz="0" w:space="0" w:color="auto"/>
        <w:bottom w:val="none" w:sz="0" w:space="0" w:color="auto"/>
        <w:right w:val="none" w:sz="0" w:space="0" w:color="auto"/>
      </w:divBdr>
    </w:div>
    <w:div w:id="538275719">
      <w:bodyDiv w:val="1"/>
      <w:marLeft w:val="0"/>
      <w:marRight w:val="0"/>
      <w:marTop w:val="0"/>
      <w:marBottom w:val="0"/>
      <w:divBdr>
        <w:top w:val="none" w:sz="0" w:space="0" w:color="auto"/>
        <w:left w:val="none" w:sz="0" w:space="0" w:color="auto"/>
        <w:bottom w:val="none" w:sz="0" w:space="0" w:color="auto"/>
        <w:right w:val="none" w:sz="0" w:space="0" w:color="auto"/>
      </w:divBdr>
    </w:div>
    <w:div w:id="691028416">
      <w:bodyDiv w:val="1"/>
      <w:marLeft w:val="0"/>
      <w:marRight w:val="0"/>
      <w:marTop w:val="0"/>
      <w:marBottom w:val="0"/>
      <w:divBdr>
        <w:top w:val="none" w:sz="0" w:space="0" w:color="auto"/>
        <w:left w:val="none" w:sz="0" w:space="0" w:color="auto"/>
        <w:bottom w:val="none" w:sz="0" w:space="0" w:color="auto"/>
        <w:right w:val="none" w:sz="0" w:space="0" w:color="auto"/>
      </w:divBdr>
    </w:div>
    <w:div w:id="779840183">
      <w:bodyDiv w:val="1"/>
      <w:marLeft w:val="0"/>
      <w:marRight w:val="0"/>
      <w:marTop w:val="0"/>
      <w:marBottom w:val="0"/>
      <w:divBdr>
        <w:top w:val="none" w:sz="0" w:space="0" w:color="auto"/>
        <w:left w:val="none" w:sz="0" w:space="0" w:color="auto"/>
        <w:bottom w:val="none" w:sz="0" w:space="0" w:color="auto"/>
        <w:right w:val="none" w:sz="0" w:space="0" w:color="auto"/>
      </w:divBdr>
    </w:div>
    <w:div w:id="784467796">
      <w:bodyDiv w:val="1"/>
      <w:marLeft w:val="0"/>
      <w:marRight w:val="0"/>
      <w:marTop w:val="0"/>
      <w:marBottom w:val="0"/>
      <w:divBdr>
        <w:top w:val="none" w:sz="0" w:space="0" w:color="auto"/>
        <w:left w:val="none" w:sz="0" w:space="0" w:color="auto"/>
        <w:bottom w:val="none" w:sz="0" w:space="0" w:color="auto"/>
        <w:right w:val="none" w:sz="0" w:space="0" w:color="auto"/>
      </w:divBdr>
    </w:div>
    <w:div w:id="1018628363">
      <w:bodyDiv w:val="1"/>
      <w:marLeft w:val="0"/>
      <w:marRight w:val="0"/>
      <w:marTop w:val="0"/>
      <w:marBottom w:val="0"/>
      <w:divBdr>
        <w:top w:val="none" w:sz="0" w:space="0" w:color="auto"/>
        <w:left w:val="none" w:sz="0" w:space="0" w:color="auto"/>
        <w:bottom w:val="none" w:sz="0" w:space="0" w:color="auto"/>
        <w:right w:val="none" w:sz="0" w:space="0" w:color="auto"/>
      </w:divBdr>
    </w:div>
    <w:div w:id="1077899333">
      <w:bodyDiv w:val="1"/>
      <w:marLeft w:val="0"/>
      <w:marRight w:val="0"/>
      <w:marTop w:val="0"/>
      <w:marBottom w:val="0"/>
      <w:divBdr>
        <w:top w:val="none" w:sz="0" w:space="0" w:color="auto"/>
        <w:left w:val="none" w:sz="0" w:space="0" w:color="auto"/>
        <w:bottom w:val="none" w:sz="0" w:space="0" w:color="auto"/>
        <w:right w:val="none" w:sz="0" w:space="0" w:color="auto"/>
      </w:divBdr>
    </w:div>
    <w:div w:id="1148060047">
      <w:bodyDiv w:val="1"/>
      <w:marLeft w:val="0"/>
      <w:marRight w:val="0"/>
      <w:marTop w:val="0"/>
      <w:marBottom w:val="0"/>
      <w:divBdr>
        <w:top w:val="none" w:sz="0" w:space="0" w:color="auto"/>
        <w:left w:val="none" w:sz="0" w:space="0" w:color="auto"/>
        <w:bottom w:val="none" w:sz="0" w:space="0" w:color="auto"/>
        <w:right w:val="none" w:sz="0" w:space="0" w:color="auto"/>
      </w:divBdr>
    </w:div>
    <w:div w:id="1236861464">
      <w:bodyDiv w:val="1"/>
      <w:marLeft w:val="0"/>
      <w:marRight w:val="0"/>
      <w:marTop w:val="0"/>
      <w:marBottom w:val="0"/>
      <w:divBdr>
        <w:top w:val="none" w:sz="0" w:space="0" w:color="auto"/>
        <w:left w:val="none" w:sz="0" w:space="0" w:color="auto"/>
        <w:bottom w:val="none" w:sz="0" w:space="0" w:color="auto"/>
        <w:right w:val="none" w:sz="0" w:space="0" w:color="auto"/>
      </w:divBdr>
    </w:div>
    <w:div w:id="1267276936">
      <w:bodyDiv w:val="1"/>
      <w:marLeft w:val="0"/>
      <w:marRight w:val="0"/>
      <w:marTop w:val="0"/>
      <w:marBottom w:val="0"/>
      <w:divBdr>
        <w:top w:val="none" w:sz="0" w:space="0" w:color="auto"/>
        <w:left w:val="none" w:sz="0" w:space="0" w:color="auto"/>
        <w:bottom w:val="none" w:sz="0" w:space="0" w:color="auto"/>
        <w:right w:val="none" w:sz="0" w:space="0" w:color="auto"/>
      </w:divBdr>
    </w:div>
    <w:div w:id="1285162370">
      <w:bodyDiv w:val="1"/>
      <w:marLeft w:val="0"/>
      <w:marRight w:val="0"/>
      <w:marTop w:val="0"/>
      <w:marBottom w:val="0"/>
      <w:divBdr>
        <w:top w:val="none" w:sz="0" w:space="0" w:color="auto"/>
        <w:left w:val="none" w:sz="0" w:space="0" w:color="auto"/>
        <w:bottom w:val="none" w:sz="0" w:space="0" w:color="auto"/>
        <w:right w:val="none" w:sz="0" w:space="0" w:color="auto"/>
      </w:divBdr>
    </w:div>
    <w:div w:id="1301306871">
      <w:bodyDiv w:val="1"/>
      <w:marLeft w:val="0"/>
      <w:marRight w:val="0"/>
      <w:marTop w:val="0"/>
      <w:marBottom w:val="0"/>
      <w:divBdr>
        <w:top w:val="none" w:sz="0" w:space="0" w:color="auto"/>
        <w:left w:val="none" w:sz="0" w:space="0" w:color="auto"/>
        <w:bottom w:val="none" w:sz="0" w:space="0" w:color="auto"/>
        <w:right w:val="none" w:sz="0" w:space="0" w:color="auto"/>
      </w:divBdr>
    </w:div>
    <w:div w:id="1340622701">
      <w:bodyDiv w:val="1"/>
      <w:marLeft w:val="0"/>
      <w:marRight w:val="0"/>
      <w:marTop w:val="0"/>
      <w:marBottom w:val="0"/>
      <w:divBdr>
        <w:top w:val="none" w:sz="0" w:space="0" w:color="auto"/>
        <w:left w:val="none" w:sz="0" w:space="0" w:color="auto"/>
        <w:bottom w:val="none" w:sz="0" w:space="0" w:color="auto"/>
        <w:right w:val="none" w:sz="0" w:space="0" w:color="auto"/>
      </w:divBdr>
    </w:div>
    <w:div w:id="1400127774">
      <w:bodyDiv w:val="1"/>
      <w:marLeft w:val="0"/>
      <w:marRight w:val="0"/>
      <w:marTop w:val="0"/>
      <w:marBottom w:val="0"/>
      <w:divBdr>
        <w:top w:val="none" w:sz="0" w:space="0" w:color="auto"/>
        <w:left w:val="none" w:sz="0" w:space="0" w:color="auto"/>
        <w:bottom w:val="none" w:sz="0" w:space="0" w:color="auto"/>
        <w:right w:val="none" w:sz="0" w:space="0" w:color="auto"/>
      </w:divBdr>
    </w:div>
    <w:div w:id="1409038988">
      <w:bodyDiv w:val="1"/>
      <w:marLeft w:val="0"/>
      <w:marRight w:val="0"/>
      <w:marTop w:val="0"/>
      <w:marBottom w:val="0"/>
      <w:divBdr>
        <w:top w:val="none" w:sz="0" w:space="0" w:color="auto"/>
        <w:left w:val="none" w:sz="0" w:space="0" w:color="auto"/>
        <w:bottom w:val="none" w:sz="0" w:space="0" w:color="auto"/>
        <w:right w:val="none" w:sz="0" w:space="0" w:color="auto"/>
      </w:divBdr>
    </w:div>
    <w:div w:id="1498232313">
      <w:bodyDiv w:val="1"/>
      <w:marLeft w:val="0"/>
      <w:marRight w:val="0"/>
      <w:marTop w:val="0"/>
      <w:marBottom w:val="0"/>
      <w:divBdr>
        <w:top w:val="none" w:sz="0" w:space="0" w:color="auto"/>
        <w:left w:val="none" w:sz="0" w:space="0" w:color="auto"/>
        <w:bottom w:val="none" w:sz="0" w:space="0" w:color="auto"/>
        <w:right w:val="none" w:sz="0" w:space="0" w:color="auto"/>
      </w:divBdr>
    </w:div>
    <w:div w:id="1516072195">
      <w:bodyDiv w:val="1"/>
      <w:marLeft w:val="0"/>
      <w:marRight w:val="0"/>
      <w:marTop w:val="0"/>
      <w:marBottom w:val="0"/>
      <w:divBdr>
        <w:top w:val="none" w:sz="0" w:space="0" w:color="auto"/>
        <w:left w:val="none" w:sz="0" w:space="0" w:color="auto"/>
        <w:bottom w:val="none" w:sz="0" w:space="0" w:color="auto"/>
        <w:right w:val="none" w:sz="0" w:space="0" w:color="auto"/>
      </w:divBdr>
    </w:div>
    <w:div w:id="1705472705">
      <w:bodyDiv w:val="1"/>
      <w:marLeft w:val="0"/>
      <w:marRight w:val="0"/>
      <w:marTop w:val="0"/>
      <w:marBottom w:val="0"/>
      <w:divBdr>
        <w:top w:val="none" w:sz="0" w:space="0" w:color="auto"/>
        <w:left w:val="none" w:sz="0" w:space="0" w:color="auto"/>
        <w:bottom w:val="none" w:sz="0" w:space="0" w:color="auto"/>
        <w:right w:val="none" w:sz="0" w:space="0" w:color="auto"/>
      </w:divBdr>
    </w:div>
    <w:div w:id="1720129734">
      <w:bodyDiv w:val="1"/>
      <w:marLeft w:val="0"/>
      <w:marRight w:val="0"/>
      <w:marTop w:val="0"/>
      <w:marBottom w:val="0"/>
      <w:divBdr>
        <w:top w:val="none" w:sz="0" w:space="0" w:color="auto"/>
        <w:left w:val="none" w:sz="0" w:space="0" w:color="auto"/>
        <w:bottom w:val="none" w:sz="0" w:space="0" w:color="auto"/>
        <w:right w:val="none" w:sz="0" w:space="0" w:color="auto"/>
      </w:divBdr>
    </w:div>
    <w:div w:id="1758013063">
      <w:bodyDiv w:val="1"/>
      <w:marLeft w:val="0"/>
      <w:marRight w:val="0"/>
      <w:marTop w:val="0"/>
      <w:marBottom w:val="0"/>
      <w:divBdr>
        <w:top w:val="none" w:sz="0" w:space="0" w:color="auto"/>
        <w:left w:val="none" w:sz="0" w:space="0" w:color="auto"/>
        <w:bottom w:val="none" w:sz="0" w:space="0" w:color="auto"/>
        <w:right w:val="none" w:sz="0" w:space="0" w:color="auto"/>
      </w:divBdr>
    </w:div>
    <w:div w:id="1818759270">
      <w:bodyDiv w:val="1"/>
      <w:marLeft w:val="0"/>
      <w:marRight w:val="0"/>
      <w:marTop w:val="0"/>
      <w:marBottom w:val="0"/>
      <w:divBdr>
        <w:top w:val="none" w:sz="0" w:space="0" w:color="auto"/>
        <w:left w:val="none" w:sz="0" w:space="0" w:color="auto"/>
        <w:bottom w:val="none" w:sz="0" w:space="0" w:color="auto"/>
        <w:right w:val="none" w:sz="0" w:space="0" w:color="auto"/>
      </w:divBdr>
    </w:div>
    <w:div w:id="1956399151">
      <w:bodyDiv w:val="1"/>
      <w:marLeft w:val="0"/>
      <w:marRight w:val="0"/>
      <w:marTop w:val="0"/>
      <w:marBottom w:val="0"/>
      <w:divBdr>
        <w:top w:val="none" w:sz="0" w:space="0" w:color="auto"/>
        <w:left w:val="none" w:sz="0" w:space="0" w:color="auto"/>
        <w:bottom w:val="none" w:sz="0" w:space="0" w:color="auto"/>
        <w:right w:val="none" w:sz="0" w:space="0" w:color="auto"/>
      </w:divBdr>
    </w:div>
    <w:div w:id="1979459237">
      <w:bodyDiv w:val="1"/>
      <w:marLeft w:val="0"/>
      <w:marRight w:val="0"/>
      <w:marTop w:val="0"/>
      <w:marBottom w:val="0"/>
      <w:divBdr>
        <w:top w:val="none" w:sz="0" w:space="0" w:color="auto"/>
        <w:left w:val="none" w:sz="0" w:space="0" w:color="auto"/>
        <w:bottom w:val="none" w:sz="0" w:space="0" w:color="auto"/>
        <w:right w:val="none" w:sz="0" w:space="0" w:color="auto"/>
      </w:divBdr>
    </w:div>
    <w:div w:id="1980260583">
      <w:bodyDiv w:val="1"/>
      <w:marLeft w:val="0"/>
      <w:marRight w:val="0"/>
      <w:marTop w:val="0"/>
      <w:marBottom w:val="0"/>
      <w:divBdr>
        <w:top w:val="none" w:sz="0" w:space="0" w:color="auto"/>
        <w:left w:val="none" w:sz="0" w:space="0" w:color="auto"/>
        <w:bottom w:val="none" w:sz="0" w:space="0" w:color="auto"/>
        <w:right w:val="none" w:sz="0" w:space="0" w:color="auto"/>
      </w:divBdr>
    </w:div>
    <w:div w:id="2016153523">
      <w:bodyDiv w:val="1"/>
      <w:marLeft w:val="0"/>
      <w:marRight w:val="0"/>
      <w:marTop w:val="0"/>
      <w:marBottom w:val="0"/>
      <w:divBdr>
        <w:top w:val="none" w:sz="0" w:space="0" w:color="auto"/>
        <w:left w:val="none" w:sz="0" w:space="0" w:color="auto"/>
        <w:bottom w:val="none" w:sz="0" w:space="0" w:color="auto"/>
        <w:right w:val="none" w:sz="0" w:space="0" w:color="auto"/>
      </w:divBdr>
    </w:div>
    <w:div w:id="2034501895">
      <w:bodyDiv w:val="1"/>
      <w:marLeft w:val="0"/>
      <w:marRight w:val="0"/>
      <w:marTop w:val="0"/>
      <w:marBottom w:val="0"/>
      <w:divBdr>
        <w:top w:val="none" w:sz="0" w:space="0" w:color="auto"/>
        <w:left w:val="none" w:sz="0" w:space="0" w:color="auto"/>
        <w:bottom w:val="none" w:sz="0" w:space="0" w:color="auto"/>
        <w:right w:val="none" w:sz="0" w:space="0" w:color="auto"/>
      </w:divBdr>
    </w:div>
    <w:div w:id="20491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ythuat@gipgroup.vn" TargetMode="External"/><Relationship Id="rId3" Type="http://schemas.openxmlformats.org/officeDocument/2006/relationships/settings" Target="settings.xml"/><Relationship Id="rId7" Type="http://schemas.openxmlformats.org/officeDocument/2006/relationships/hyperlink" Target="mailto:bankythuat@gipgroup.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6</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Van Cuong</dc:creator>
  <cp:keywords/>
  <dc:description/>
  <cp:lastModifiedBy>Mai Van Cuong</cp:lastModifiedBy>
  <cp:revision>111</cp:revision>
  <cp:lastPrinted>2026-04-09T09:26:00Z</cp:lastPrinted>
  <dcterms:created xsi:type="dcterms:W3CDTF">2026-03-25T00:32:00Z</dcterms:created>
  <dcterms:modified xsi:type="dcterms:W3CDTF">2026-04-09T09:29:00Z</dcterms:modified>
</cp:coreProperties>
</file>